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BE71">
      <w:pPr>
        <w:shd w:val="clear"/>
        <w:spacing w:line="300" w:lineRule="auto"/>
        <w:jc w:val="center"/>
        <w:rPr>
          <w:rFonts w:ascii="Times New Roman" w:hAnsi="Times New Roman" w:eastAsia="黑体"/>
          <w:b/>
          <w:bCs/>
          <w:color w:val="000000"/>
          <w:w w:val="90"/>
          <w:sz w:val="44"/>
          <w:szCs w:val="44"/>
          <w:highlight w:val="none"/>
        </w:rPr>
      </w:pPr>
    </w:p>
    <w:p w14:paraId="2D4DE889">
      <w:pPr>
        <w:widowControl w:val="0"/>
        <w:shd w:val="clear"/>
        <w:spacing w:before="468" w:beforeLines="150" w:after="468" w:afterLines="150"/>
        <w:jc w:val="center"/>
        <w:rPr>
          <w:rFonts w:hint="eastAsia" w:ascii="方正小标宋简体" w:hAnsi="方正小标宋简体" w:eastAsia="方正小标宋简体" w:cs="方正小标宋简体"/>
          <w:b/>
          <w:kern w:val="2"/>
          <w:sz w:val="52"/>
          <w:szCs w:val="52"/>
          <w:highlight w:val="none"/>
        </w:rPr>
      </w:pPr>
      <w:r>
        <w:rPr>
          <w:rFonts w:hint="eastAsia" w:ascii="方正小标宋简体" w:hAnsi="方正小标宋简体" w:eastAsia="方正小标宋简体" w:cs="方正小标宋简体"/>
          <w:b/>
          <w:kern w:val="2"/>
          <w:sz w:val="52"/>
          <w:szCs w:val="52"/>
          <w:highlight w:val="none"/>
        </w:rPr>
        <w:t>山东济钢环保新材料有限公司</w:t>
      </w:r>
    </w:p>
    <w:p w14:paraId="0EE784D5">
      <w:pPr>
        <w:shd w:val="clear"/>
        <w:spacing w:line="300" w:lineRule="auto"/>
        <w:ind w:left="0" w:leftChars="0" w:firstLine="0" w:firstLineChars="0"/>
        <w:jc w:val="center"/>
        <w:rPr>
          <w:rFonts w:hint="default" w:ascii="方正小标宋简体" w:hAnsi="方正小标宋简体" w:eastAsia="方正小标宋简体" w:cs="方正小标宋简体"/>
          <w:b/>
          <w:bCs/>
          <w:color w:val="000000"/>
          <w:w w:val="90"/>
          <w:sz w:val="44"/>
          <w:szCs w:val="44"/>
          <w:highlight w:val="none"/>
          <w:lang w:val="en-US"/>
        </w:rPr>
      </w:pPr>
      <w:r>
        <w:rPr>
          <w:rFonts w:hint="eastAsia" w:ascii="方正小标宋简体" w:hAnsi="方正小标宋简体" w:eastAsia="方正小标宋简体" w:cs="方正小标宋简体"/>
          <w:b/>
          <w:bCs/>
          <w:color w:val="000000"/>
          <w:w w:val="90"/>
          <w:sz w:val="44"/>
          <w:szCs w:val="44"/>
          <w:highlight w:val="none"/>
          <w:lang w:val="en-US" w:eastAsia="zh-CN"/>
        </w:rPr>
        <w:t>皮重计量自助打印改造项目</w:t>
      </w:r>
    </w:p>
    <w:p w14:paraId="7486897C">
      <w:pPr>
        <w:shd w:val="clear"/>
        <w:spacing w:line="300" w:lineRule="auto"/>
        <w:ind w:firstLine="3182" w:firstLineChars="800"/>
        <w:rPr>
          <w:rFonts w:hint="eastAsia" w:ascii="方正小标宋简体" w:hAnsi="方正小标宋简体" w:eastAsia="方正小标宋简体" w:cs="方正小标宋简体"/>
          <w:b/>
          <w:bCs/>
          <w:color w:val="000000"/>
          <w:w w:val="90"/>
          <w:sz w:val="44"/>
          <w:szCs w:val="44"/>
          <w:highlight w:val="none"/>
        </w:rPr>
      </w:pPr>
    </w:p>
    <w:p w14:paraId="2761CCF4">
      <w:pPr>
        <w:shd w:val="clear"/>
        <w:spacing w:line="300" w:lineRule="auto"/>
        <w:ind w:firstLine="3182" w:firstLineChars="800"/>
        <w:rPr>
          <w:rFonts w:hint="eastAsia" w:ascii="方正小标宋简体" w:hAnsi="方正小标宋简体" w:eastAsia="方正小标宋简体" w:cs="方正小标宋简体"/>
          <w:b/>
          <w:bCs/>
          <w:color w:val="000000"/>
          <w:w w:val="90"/>
          <w:sz w:val="44"/>
          <w:szCs w:val="44"/>
          <w:highlight w:val="none"/>
        </w:rPr>
      </w:pPr>
    </w:p>
    <w:p w14:paraId="45CECF26">
      <w:pPr>
        <w:widowControl w:val="0"/>
        <w:shd w:val="clear"/>
        <w:spacing w:before="468" w:beforeLines="150" w:after="468" w:afterLines="150"/>
        <w:jc w:val="center"/>
        <w:rPr>
          <w:rFonts w:hint="eastAsia" w:ascii="方正小标宋简体" w:hAnsi="方正小标宋简体" w:eastAsia="方正小标宋简体" w:cs="方正小标宋简体"/>
          <w:b/>
          <w:kern w:val="2"/>
          <w:sz w:val="52"/>
          <w:szCs w:val="52"/>
          <w:highlight w:val="none"/>
        </w:rPr>
      </w:pPr>
      <w:r>
        <w:rPr>
          <w:rFonts w:hint="eastAsia" w:ascii="方正小标宋简体" w:hAnsi="方正小标宋简体" w:eastAsia="方正小标宋简体" w:cs="方正小标宋简体"/>
          <w:b/>
          <w:kern w:val="2"/>
          <w:sz w:val="52"/>
          <w:szCs w:val="52"/>
          <w:highlight w:val="none"/>
        </w:rPr>
        <w:t>招标文件</w:t>
      </w:r>
    </w:p>
    <w:p w14:paraId="1AAAD2BF">
      <w:pPr>
        <w:shd w:val="clear"/>
        <w:spacing w:line="300" w:lineRule="auto"/>
        <w:jc w:val="center"/>
        <w:rPr>
          <w:rFonts w:hint="eastAsia" w:ascii="方正小标宋简体" w:hAnsi="方正小标宋简体" w:eastAsia="方正小标宋简体" w:cs="方正小标宋简体"/>
          <w:b/>
          <w:bCs/>
          <w:color w:val="000000"/>
          <w:w w:val="90"/>
          <w:sz w:val="44"/>
          <w:szCs w:val="44"/>
          <w:highlight w:val="none"/>
        </w:rPr>
      </w:pPr>
    </w:p>
    <w:p w14:paraId="1157993A">
      <w:pPr>
        <w:shd w:val="clear"/>
        <w:spacing w:line="300" w:lineRule="auto"/>
        <w:ind w:firstLine="6401" w:firstLineChars="1449"/>
        <w:rPr>
          <w:rFonts w:hint="eastAsia" w:ascii="方正小标宋简体" w:hAnsi="方正小标宋简体" w:eastAsia="方正小标宋简体" w:cs="方正小标宋简体"/>
          <w:b/>
          <w:color w:val="000000"/>
          <w:sz w:val="44"/>
          <w:szCs w:val="44"/>
          <w:highlight w:val="none"/>
        </w:rPr>
      </w:pPr>
    </w:p>
    <w:p w14:paraId="72132E3B">
      <w:pPr>
        <w:shd w:val="clear"/>
        <w:spacing w:line="300" w:lineRule="auto"/>
        <w:ind w:firstLine="5288" w:firstLineChars="1646"/>
        <w:rPr>
          <w:rFonts w:hint="eastAsia" w:ascii="方正小标宋简体" w:hAnsi="方正小标宋简体" w:eastAsia="方正小标宋简体" w:cs="方正小标宋简体"/>
          <w:b/>
          <w:color w:val="000000"/>
          <w:sz w:val="32"/>
          <w:szCs w:val="32"/>
          <w:highlight w:val="none"/>
          <w:u w:val="single"/>
        </w:rPr>
      </w:pPr>
    </w:p>
    <w:p w14:paraId="07470409">
      <w:pPr>
        <w:shd w:val="clea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highlight w:val="none"/>
        </w:rPr>
      </w:pPr>
    </w:p>
    <w:p w14:paraId="61757F00">
      <w:pPr>
        <w:shd w:val="clea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highlight w:val="none"/>
        </w:rPr>
      </w:pPr>
    </w:p>
    <w:p w14:paraId="12219B61">
      <w:pPr>
        <w:shd w:val="clear"/>
        <w:spacing w:line="300" w:lineRule="auto"/>
        <w:ind w:firstLine="560" w:firstLineChars="200"/>
        <w:rPr>
          <w:rFonts w:hint="eastAsia" w:ascii="方正小标宋简体" w:hAnsi="方正小标宋简体" w:eastAsia="方正小标宋简体" w:cs="方正小标宋简体"/>
          <w:bCs/>
          <w:color w:val="000000"/>
          <w:sz w:val="32"/>
          <w:szCs w:val="32"/>
          <w:highlight w:val="none"/>
        </w:rPr>
      </w:pPr>
      <w:r>
        <w:rPr>
          <w:rFonts w:hint="eastAsia" w:ascii="方正小标宋简体" w:hAnsi="方正小标宋简体" w:eastAsia="方正小标宋简体" w:cs="方正小标宋简体"/>
          <w:bCs/>
          <w:color w:val="000000"/>
          <w:sz w:val="28"/>
          <w:szCs w:val="28"/>
          <w:highlight w:val="none"/>
        </w:rPr>
        <w:t xml:space="preserve">   </w:t>
      </w:r>
      <w:r>
        <w:rPr>
          <w:rFonts w:hint="eastAsia" w:ascii="方正小标宋简体" w:hAnsi="方正小标宋简体" w:eastAsia="方正小标宋简体" w:cs="方正小标宋简体"/>
          <w:bCs/>
          <w:color w:val="000000"/>
          <w:sz w:val="32"/>
          <w:szCs w:val="32"/>
          <w:highlight w:val="none"/>
        </w:rPr>
        <w:t xml:space="preserve">    招标人：山东济钢环保新材料有限公司 </w:t>
      </w:r>
    </w:p>
    <w:p w14:paraId="2F9CEC52">
      <w:pPr>
        <w:pStyle w:val="81"/>
        <w:shd w:val="clear" w:color="auto"/>
        <w:spacing w:line="300" w:lineRule="auto"/>
        <w:jc w:val="center"/>
        <w:rPr>
          <w:rFonts w:hint="eastAsia" w:ascii="方正小标宋简体" w:hAnsi="方正小标宋简体" w:eastAsia="方正小标宋简体" w:cs="方正小标宋简体"/>
          <w:bCs/>
          <w:color w:val="000000"/>
          <w:spacing w:val="28"/>
          <w:sz w:val="32"/>
          <w:szCs w:val="32"/>
          <w:highlight w:val="none"/>
        </w:rPr>
      </w:pPr>
      <w:r>
        <w:rPr>
          <w:rFonts w:hint="eastAsia" w:ascii="方正小标宋简体" w:hAnsi="方正小标宋简体" w:eastAsia="方正小标宋简体" w:cs="方正小标宋简体"/>
          <w:bCs/>
          <w:color w:val="000000"/>
          <w:spacing w:val="28"/>
          <w:sz w:val="32"/>
          <w:szCs w:val="32"/>
          <w:highlight w:val="none"/>
        </w:rPr>
        <w:t>202</w:t>
      </w:r>
      <w:r>
        <w:rPr>
          <w:rFonts w:hint="eastAsia" w:ascii="方正小标宋简体" w:hAnsi="方正小标宋简体" w:eastAsia="方正小标宋简体" w:cs="方正小标宋简体"/>
          <w:bCs/>
          <w:color w:val="000000"/>
          <w:spacing w:val="28"/>
          <w:sz w:val="32"/>
          <w:szCs w:val="32"/>
          <w:highlight w:val="none"/>
          <w:lang w:val="en-US" w:eastAsia="zh-CN"/>
        </w:rPr>
        <w:t>5</w:t>
      </w:r>
      <w:r>
        <w:rPr>
          <w:rFonts w:hint="eastAsia" w:ascii="方正小标宋简体" w:hAnsi="方正小标宋简体" w:eastAsia="方正小标宋简体" w:cs="方正小标宋简体"/>
          <w:bCs/>
          <w:color w:val="000000"/>
          <w:spacing w:val="28"/>
          <w:sz w:val="32"/>
          <w:szCs w:val="32"/>
          <w:highlight w:val="none"/>
        </w:rPr>
        <w:t>年</w:t>
      </w:r>
      <w:r>
        <w:rPr>
          <w:rFonts w:hint="eastAsia" w:ascii="方正小标宋简体" w:hAnsi="方正小标宋简体" w:eastAsia="方正小标宋简体" w:cs="方正小标宋简体"/>
          <w:bCs/>
          <w:color w:val="000000"/>
          <w:spacing w:val="28"/>
          <w:sz w:val="32"/>
          <w:szCs w:val="32"/>
          <w:highlight w:val="none"/>
          <w:lang w:val="en-US" w:eastAsia="zh-CN"/>
        </w:rPr>
        <w:t>12</w:t>
      </w:r>
      <w:r>
        <w:rPr>
          <w:rFonts w:hint="eastAsia" w:ascii="方正小标宋简体" w:hAnsi="方正小标宋简体" w:eastAsia="方正小标宋简体" w:cs="方正小标宋简体"/>
          <w:bCs/>
          <w:color w:val="000000"/>
          <w:spacing w:val="28"/>
          <w:sz w:val="32"/>
          <w:szCs w:val="32"/>
          <w:highlight w:val="none"/>
        </w:rPr>
        <w:t>月</w:t>
      </w:r>
      <w:r>
        <w:rPr>
          <w:rFonts w:hint="eastAsia" w:ascii="方正小标宋简体" w:hAnsi="方正小标宋简体" w:eastAsia="方正小标宋简体" w:cs="方正小标宋简体"/>
          <w:bCs/>
          <w:color w:val="000000"/>
          <w:spacing w:val="28"/>
          <w:sz w:val="32"/>
          <w:szCs w:val="32"/>
          <w:highlight w:val="none"/>
          <w:lang w:val="en-US" w:eastAsia="zh-CN"/>
        </w:rPr>
        <w:t>25</w:t>
      </w:r>
      <w:r>
        <w:rPr>
          <w:rFonts w:hint="eastAsia" w:ascii="方正小标宋简体" w:hAnsi="方正小标宋简体" w:eastAsia="方正小标宋简体" w:cs="方正小标宋简体"/>
          <w:bCs/>
          <w:color w:val="000000"/>
          <w:spacing w:val="28"/>
          <w:sz w:val="32"/>
          <w:szCs w:val="32"/>
          <w:highlight w:val="none"/>
        </w:rPr>
        <w:t>日</w:t>
      </w:r>
    </w:p>
    <w:p w14:paraId="27BC4EDB">
      <w:pPr>
        <w:shd w:val="clear"/>
        <w:spacing w:line="300" w:lineRule="auto"/>
        <w:rPr>
          <w:rFonts w:hint="eastAsia" w:ascii="方正小标宋简体" w:hAnsi="方正小标宋简体" w:eastAsia="方正小标宋简体" w:cs="方正小标宋简体"/>
          <w:bCs/>
          <w:color w:val="000000"/>
          <w:sz w:val="28"/>
          <w:szCs w:val="28"/>
          <w:highlight w:val="none"/>
        </w:rPr>
        <w:sectPr>
          <w:headerReference r:id="rId3" w:type="default"/>
          <w:pgSz w:w="11906" w:h="16838"/>
          <w:pgMar w:top="1440" w:right="1416" w:bottom="1440" w:left="1560" w:header="851" w:footer="992" w:gutter="0"/>
          <w:cols w:space="720" w:num="1"/>
          <w:docGrid w:type="lines" w:linePitch="312" w:charSpace="0"/>
        </w:sectPr>
      </w:pPr>
    </w:p>
    <w:sdt>
      <w:sdtPr>
        <w:rPr>
          <w:rFonts w:hint="eastAsia" w:ascii="方正小标宋简体" w:hAnsi="方正小标宋简体" w:eastAsia="方正小标宋简体" w:cs="方正小标宋简体"/>
          <w:sz w:val="36"/>
          <w:szCs w:val="36"/>
          <w:highlight w:val="none"/>
          <w:lang w:val="en-US" w:eastAsia="zh-CN" w:bidi="ar-SA"/>
        </w:rPr>
        <w:id w:val="147482229"/>
        <w:docPartObj>
          <w:docPartGallery w:val="Table of Contents"/>
          <w:docPartUnique/>
        </w:docPartObj>
      </w:sdtPr>
      <w:sdtEndPr>
        <w:rPr>
          <w:rFonts w:hint="eastAsia" w:ascii="方正小标宋简体" w:hAnsi="方正小标宋简体" w:eastAsia="方正小标宋简体" w:cs="方正小标宋简体"/>
          <w:sz w:val="20"/>
          <w:szCs w:val="20"/>
          <w:highlight w:val="none"/>
          <w:lang w:val="en-US" w:eastAsia="zh-CN" w:bidi="ar-SA"/>
        </w:rPr>
      </w:sdtEndPr>
      <w:sdtContent>
        <w:p w14:paraId="2C225C2E">
          <w:pPr>
            <w:shd w:val="clea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6"/>
              <w:szCs w:val="36"/>
              <w:highlight w:val="none"/>
            </w:rPr>
          </w:pPr>
          <w:bookmarkStart w:id="0" w:name="_Toc29274_WPSOffice_Type1"/>
          <w:r>
            <w:rPr>
              <w:rFonts w:hint="eastAsia" w:ascii="方正小标宋简体" w:hAnsi="方正小标宋简体" w:eastAsia="方正小标宋简体" w:cs="方正小标宋简体"/>
              <w:sz w:val="36"/>
              <w:szCs w:val="36"/>
              <w:highlight w:val="none"/>
            </w:rPr>
            <w:t>目录</w:t>
          </w:r>
        </w:p>
        <w:p w14:paraId="01244F9F">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_Toc5950_WPSOffice_Level1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80804"/>
              <w:placeholder>
                <w:docPart w:val="{47c6498c-0552-4c59-ae9c-47d58bc557e6}"/>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第一章   招标公告</w:t>
              </w:r>
            </w:sdtContent>
          </w:sdt>
          <w:r>
            <w:rPr>
              <w:rFonts w:hint="eastAsia" w:ascii="仿宋_GB2312" w:hAnsi="仿宋_GB2312" w:eastAsia="仿宋_GB2312" w:cs="仿宋_GB2312"/>
              <w:b/>
              <w:bCs/>
              <w:sz w:val="28"/>
              <w:szCs w:val="28"/>
              <w:highlight w:val="none"/>
            </w:rPr>
            <w:tab/>
          </w:r>
          <w:bookmarkStart w:id="1" w:name="_Toc5950_WPSOffice_Level1Page"/>
          <w:r>
            <w:rPr>
              <w:rFonts w:hint="eastAsia" w:ascii="仿宋_GB2312" w:hAnsi="仿宋_GB2312" w:eastAsia="仿宋_GB2312" w:cs="仿宋_GB2312"/>
              <w:b/>
              <w:bCs/>
              <w:sz w:val="28"/>
              <w:szCs w:val="28"/>
              <w:highlight w:val="none"/>
            </w:rPr>
            <w:t>1</w:t>
          </w:r>
          <w:bookmarkEnd w:id="1"/>
          <w:r>
            <w:rPr>
              <w:rFonts w:hint="eastAsia" w:ascii="仿宋_GB2312" w:hAnsi="仿宋_GB2312" w:eastAsia="仿宋_GB2312" w:cs="仿宋_GB2312"/>
              <w:b/>
              <w:bCs/>
              <w:sz w:val="28"/>
              <w:szCs w:val="28"/>
              <w:highlight w:val="none"/>
            </w:rPr>
            <w:fldChar w:fldCharType="end"/>
          </w:r>
        </w:p>
        <w:p w14:paraId="4EF4E067">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_Toc29274_WPSOffice_Level1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70834"/>
              <w:placeholder>
                <w:docPart w:val="{b51bf0f7-022a-4559-abc0-0d1bd889bd8a}"/>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 xml:space="preserve">第二章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招标须知</w:t>
              </w:r>
            </w:sdtContent>
          </w:sdt>
          <w:r>
            <w:rPr>
              <w:rFonts w:hint="eastAsia" w:ascii="仿宋_GB2312" w:hAnsi="仿宋_GB2312" w:eastAsia="仿宋_GB2312" w:cs="仿宋_GB2312"/>
              <w:b/>
              <w:bCs/>
              <w:sz w:val="28"/>
              <w:szCs w:val="28"/>
              <w:highlight w:val="none"/>
            </w:rPr>
            <w:tab/>
          </w:r>
          <w:bookmarkStart w:id="2" w:name="_Toc29274_WPSOffice_Level1Page"/>
          <w:r>
            <w:rPr>
              <w:rFonts w:hint="eastAsia" w:ascii="仿宋_GB2312" w:hAnsi="仿宋_GB2312" w:eastAsia="仿宋_GB2312" w:cs="仿宋_GB2312"/>
              <w:b/>
              <w:bCs/>
              <w:sz w:val="28"/>
              <w:szCs w:val="28"/>
              <w:highlight w:val="none"/>
            </w:rPr>
            <w:t>5</w:t>
          </w:r>
          <w:bookmarkEnd w:id="2"/>
          <w:r>
            <w:rPr>
              <w:rFonts w:hint="eastAsia" w:ascii="仿宋_GB2312" w:hAnsi="仿宋_GB2312" w:eastAsia="仿宋_GB2312" w:cs="仿宋_GB2312"/>
              <w:b/>
              <w:bCs/>
              <w:sz w:val="28"/>
              <w:szCs w:val="28"/>
              <w:highlight w:val="none"/>
            </w:rPr>
            <w:fldChar w:fldCharType="end"/>
          </w:r>
        </w:p>
        <w:p w14:paraId="7174E3AA">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_Toc24184_WPSOffice_Level1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63232"/>
              <w:placeholder>
                <w:docPart w:val="{c25d4978-c5d2-477a-91bb-0b09dc94c11a}"/>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 xml:space="preserve">第三章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评标办法</w:t>
              </w:r>
            </w:sdtContent>
          </w:sdt>
          <w:r>
            <w:rPr>
              <w:rFonts w:hint="eastAsia" w:ascii="仿宋_GB2312" w:hAnsi="仿宋_GB2312" w:eastAsia="仿宋_GB2312" w:cs="仿宋_GB2312"/>
              <w:b/>
              <w:bCs/>
              <w:sz w:val="28"/>
              <w:szCs w:val="28"/>
              <w:highlight w:val="none"/>
            </w:rPr>
            <w:tab/>
          </w:r>
          <w:bookmarkStart w:id="3" w:name="_Toc24184_WPSOffice_Level1Page"/>
          <w:r>
            <w:rPr>
              <w:rFonts w:hint="eastAsia" w:ascii="仿宋_GB2312" w:hAnsi="仿宋_GB2312" w:eastAsia="仿宋_GB2312" w:cs="仿宋_GB2312"/>
              <w:b/>
              <w:bCs/>
              <w:sz w:val="28"/>
              <w:szCs w:val="28"/>
              <w:highlight w:val="none"/>
            </w:rPr>
            <w:t>19</w:t>
          </w:r>
          <w:bookmarkEnd w:id="3"/>
          <w:r>
            <w:rPr>
              <w:rFonts w:hint="eastAsia" w:ascii="仿宋_GB2312" w:hAnsi="仿宋_GB2312" w:eastAsia="仿宋_GB2312" w:cs="仿宋_GB2312"/>
              <w:b/>
              <w:bCs/>
              <w:sz w:val="28"/>
              <w:szCs w:val="28"/>
              <w:highlight w:val="none"/>
            </w:rPr>
            <w:fldChar w:fldCharType="end"/>
          </w:r>
        </w:p>
        <w:p w14:paraId="0FF131F3">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_Toc22717_WPSOffice_Level1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78087"/>
              <w:placeholder>
                <w:docPart w:val="{4dee9d09-12f1-4d62-ac96-cef84ef3c0db}"/>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 xml:space="preserve">第四章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技术要求</w:t>
              </w:r>
            </w:sdtContent>
          </w:sdt>
          <w:r>
            <w:rPr>
              <w:rFonts w:hint="eastAsia" w:ascii="仿宋_GB2312" w:hAnsi="仿宋_GB2312" w:eastAsia="仿宋_GB2312" w:cs="仿宋_GB2312"/>
              <w:b/>
              <w:bCs/>
              <w:sz w:val="28"/>
              <w:szCs w:val="28"/>
              <w:highlight w:val="none"/>
            </w:rPr>
            <w:tab/>
          </w:r>
          <w:bookmarkStart w:id="4" w:name="_Toc22717_WPSOffice_Level1Page"/>
          <w:r>
            <w:rPr>
              <w:rFonts w:hint="eastAsia" w:ascii="仿宋_GB2312" w:hAnsi="仿宋_GB2312" w:eastAsia="仿宋_GB2312" w:cs="仿宋_GB2312"/>
              <w:b/>
              <w:bCs/>
              <w:sz w:val="28"/>
              <w:szCs w:val="28"/>
              <w:highlight w:val="none"/>
            </w:rPr>
            <w:t>22</w:t>
          </w:r>
          <w:bookmarkEnd w:id="4"/>
          <w:r>
            <w:rPr>
              <w:rFonts w:hint="eastAsia" w:ascii="仿宋_GB2312" w:hAnsi="仿宋_GB2312" w:eastAsia="仿宋_GB2312" w:cs="仿宋_GB2312"/>
              <w:b/>
              <w:bCs/>
              <w:sz w:val="28"/>
              <w:szCs w:val="28"/>
              <w:highlight w:val="none"/>
            </w:rPr>
            <w:fldChar w:fldCharType="end"/>
          </w:r>
        </w:p>
        <w:p w14:paraId="6940D847">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_Toc386_WPSOffice_Level1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54382"/>
              <w:placeholder>
                <w:docPart w:val="{baa7020d-cbdc-4b80-9be8-db23af549d25}"/>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 xml:space="preserve">第五章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合同条款及格式</w:t>
              </w:r>
            </w:sdtContent>
          </w:sdt>
          <w:r>
            <w:rPr>
              <w:rFonts w:hint="eastAsia" w:ascii="仿宋_GB2312" w:hAnsi="仿宋_GB2312" w:eastAsia="仿宋_GB2312" w:cs="仿宋_GB2312"/>
              <w:b/>
              <w:bCs/>
              <w:sz w:val="28"/>
              <w:szCs w:val="28"/>
              <w:highlight w:val="none"/>
            </w:rPr>
            <w:tab/>
          </w:r>
          <w:bookmarkStart w:id="5" w:name="_Toc386_WPSOffice_Level1Page"/>
          <w:r>
            <w:rPr>
              <w:rFonts w:hint="eastAsia" w:ascii="仿宋_GB2312" w:hAnsi="仿宋_GB2312" w:eastAsia="仿宋_GB2312" w:cs="仿宋_GB2312"/>
              <w:b/>
              <w:bCs/>
              <w:sz w:val="28"/>
              <w:szCs w:val="28"/>
              <w:highlight w:val="none"/>
            </w:rPr>
            <w:t>24</w:t>
          </w:r>
          <w:bookmarkEnd w:id="5"/>
          <w:r>
            <w:rPr>
              <w:rFonts w:hint="eastAsia" w:ascii="仿宋_GB2312" w:hAnsi="仿宋_GB2312" w:eastAsia="仿宋_GB2312" w:cs="仿宋_GB2312"/>
              <w:b/>
              <w:bCs/>
              <w:sz w:val="28"/>
              <w:szCs w:val="28"/>
              <w:highlight w:val="none"/>
            </w:rPr>
            <w:fldChar w:fldCharType="end"/>
          </w:r>
        </w:p>
        <w:p w14:paraId="326F6179">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_Toc1571_WPSOffice_Level1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55505"/>
              <w:placeholder>
                <w:docPart w:val="{37c66cee-39be-405c-8a3b-ccee1d5988c9}"/>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 xml:space="preserve">第六章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投标文件格式及内容</w:t>
              </w:r>
            </w:sdtContent>
          </w:sdt>
          <w:r>
            <w:rPr>
              <w:rFonts w:hint="eastAsia" w:ascii="仿宋_GB2312" w:hAnsi="仿宋_GB2312" w:eastAsia="仿宋_GB2312" w:cs="仿宋_GB2312"/>
              <w:b/>
              <w:bCs/>
              <w:sz w:val="28"/>
              <w:szCs w:val="28"/>
              <w:highlight w:val="none"/>
            </w:rPr>
            <w:tab/>
          </w:r>
          <w:bookmarkStart w:id="6" w:name="_Toc1571_WPSOffice_Level1Page"/>
          <w:r>
            <w:rPr>
              <w:rFonts w:hint="eastAsia" w:ascii="仿宋_GB2312" w:hAnsi="仿宋_GB2312" w:eastAsia="仿宋_GB2312" w:cs="仿宋_GB2312"/>
              <w:b/>
              <w:bCs/>
              <w:sz w:val="28"/>
              <w:szCs w:val="28"/>
              <w:highlight w:val="none"/>
            </w:rPr>
            <w:t>31</w:t>
          </w:r>
          <w:bookmarkEnd w:id="6"/>
          <w:r>
            <w:rPr>
              <w:rFonts w:hint="eastAsia" w:ascii="仿宋_GB2312" w:hAnsi="仿宋_GB2312" w:eastAsia="仿宋_GB2312" w:cs="仿宋_GB2312"/>
              <w:b/>
              <w:bCs/>
              <w:sz w:val="28"/>
              <w:szCs w:val="28"/>
              <w:highlight w:val="none"/>
            </w:rPr>
            <w:fldChar w:fldCharType="end"/>
          </w:r>
        </w:p>
        <w:p w14:paraId="35E56275">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_Toc15065_WPSOffice_Level1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71345"/>
              <w:placeholder>
                <w:docPart w:val="{fdd5341b-5a73-400a-9400-40fd51aceecd}"/>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1、投标函</w:t>
              </w:r>
            </w:sdtContent>
          </w:sdt>
          <w:r>
            <w:rPr>
              <w:rFonts w:hint="eastAsia" w:ascii="仿宋_GB2312" w:hAnsi="仿宋_GB2312" w:eastAsia="仿宋_GB2312" w:cs="仿宋_GB2312"/>
              <w:b/>
              <w:bCs/>
              <w:sz w:val="28"/>
              <w:szCs w:val="28"/>
              <w:highlight w:val="none"/>
            </w:rPr>
            <w:tab/>
          </w:r>
          <w:bookmarkStart w:id="7" w:name="_Toc15065_WPSOffice_Level1Page"/>
          <w:r>
            <w:rPr>
              <w:rFonts w:hint="eastAsia" w:ascii="仿宋_GB2312" w:hAnsi="仿宋_GB2312" w:eastAsia="仿宋_GB2312" w:cs="仿宋_GB2312"/>
              <w:b/>
              <w:bCs/>
              <w:sz w:val="28"/>
              <w:szCs w:val="28"/>
              <w:highlight w:val="none"/>
            </w:rPr>
            <w:t>33</w:t>
          </w:r>
          <w:bookmarkEnd w:id="7"/>
          <w:r>
            <w:rPr>
              <w:rFonts w:hint="eastAsia" w:ascii="仿宋_GB2312" w:hAnsi="仿宋_GB2312" w:eastAsia="仿宋_GB2312" w:cs="仿宋_GB2312"/>
              <w:b/>
              <w:bCs/>
              <w:sz w:val="28"/>
              <w:szCs w:val="28"/>
              <w:highlight w:val="none"/>
            </w:rPr>
            <w:fldChar w:fldCharType="end"/>
          </w:r>
        </w:p>
        <w:p w14:paraId="5E42E405">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_Toc31858_WPSOffice_Level1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63365"/>
              <w:placeholder>
                <w:docPart w:val="{c8d31c09-d53b-47a6-805d-f697f880347d}"/>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2、法定代表人身份证明</w:t>
              </w:r>
            </w:sdtContent>
          </w:sdt>
          <w:r>
            <w:rPr>
              <w:rFonts w:hint="eastAsia" w:ascii="仿宋_GB2312" w:hAnsi="仿宋_GB2312" w:eastAsia="仿宋_GB2312" w:cs="仿宋_GB2312"/>
              <w:b/>
              <w:bCs/>
              <w:sz w:val="28"/>
              <w:szCs w:val="28"/>
              <w:highlight w:val="none"/>
            </w:rPr>
            <w:tab/>
          </w:r>
          <w:bookmarkStart w:id="8" w:name="_Toc31858_WPSOffice_Level1Page"/>
          <w:r>
            <w:rPr>
              <w:rFonts w:hint="eastAsia" w:ascii="仿宋_GB2312" w:hAnsi="仿宋_GB2312" w:eastAsia="仿宋_GB2312" w:cs="仿宋_GB2312"/>
              <w:b/>
              <w:bCs/>
              <w:sz w:val="28"/>
              <w:szCs w:val="28"/>
              <w:highlight w:val="none"/>
            </w:rPr>
            <w:t>34</w:t>
          </w:r>
          <w:bookmarkEnd w:id="8"/>
          <w:r>
            <w:rPr>
              <w:rFonts w:hint="eastAsia" w:ascii="仿宋_GB2312" w:hAnsi="仿宋_GB2312" w:eastAsia="仿宋_GB2312" w:cs="仿宋_GB2312"/>
              <w:b/>
              <w:bCs/>
              <w:sz w:val="28"/>
              <w:szCs w:val="28"/>
              <w:highlight w:val="none"/>
            </w:rPr>
            <w:fldChar w:fldCharType="end"/>
          </w:r>
        </w:p>
        <w:p w14:paraId="36D4593A">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_Toc14_WPSOffice_Level1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54016"/>
              <w:placeholder>
                <w:docPart w:val="{ebff3c89-b4c8-46ae-97ac-e8b2495addcb}"/>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3、授权委托书</w:t>
              </w:r>
            </w:sdtContent>
          </w:sdt>
          <w:r>
            <w:rPr>
              <w:rFonts w:hint="eastAsia" w:ascii="仿宋_GB2312" w:hAnsi="仿宋_GB2312" w:eastAsia="仿宋_GB2312" w:cs="仿宋_GB2312"/>
              <w:b/>
              <w:bCs/>
              <w:sz w:val="28"/>
              <w:szCs w:val="28"/>
              <w:highlight w:val="none"/>
            </w:rPr>
            <w:tab/>
          </w:r>
          <w:bookmarkStart w:id="9" w:name="_Toc14_WPSOffice_Level1Page"/>
          <w:r>
            <w:rPr>
              <w:rFonts w:hint="eastAsia" w:ascii="仿宋_GB2312" w:hAnsi="仿宋_GB2312" w:eastAsia="仿宋_GB2312" w:cs="仿宋_GB2312"/>
              <w:b/>
              <w:bCs/>
              <w:sz w:val="28"/>
              <w:szCs w:val="28"/>
              <w:highlight w:val="none"/>
            </w:rPr>
            <w:t>35</w:t>
          </w:r>
          <w:bookmarkEnd w:id="9"/>
          <w:r>
            <w:rPr>
              <w:rFonts w:hint="eastAsia" w:ascii="仿宋_GB2312" w:hAnsi="仿宋_GB2312" w:eastAsia="仿宋_GB2312" w:cs="仿宋_GB2312"/>
              <w:b/>
              <w:bCs/>
              <w:sz w:val="28"/>
              <w:szCs w:val="28"/>
              <w:highlight w:val="none"/>
            </w:rPr>
            <w:fldChar w:fldCharType="end"/>
          </w:r>
        </w:p>
        <w:p w14:paraId="2FED914B">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_Toc20722_WPSOffice_Level1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73403"/>
              <w:placeholder>
                <w:docPart w:val="{ec6c8546-bf52-4b04-a1f8-d58ee26a9361}"/>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4、投标保证金</w:t>
              </w:r>
            </w:sdtContent>
          </w:sdt>
          <w:r>
            <w:rPr>
              <w:rFonts w:hint="eastAsia" w:ascii="仿宋_GB2312" w:hAnsi="仿宋_GB2312" w:eastAsia="仿宋_GB2312" w:cs="仿宋_GB2312"/>
              <w:b/>
              <w:bCs/>
              <w:sz w:val="28"/>
              <w:szCs w:val="28"/>
              <w:highlight w:val="none"/>
            </w:rPr>
            <w:tab/>
          </w:r>
          <w:bookmarkStart w:id="10" w:name="_Toc20722_WPSOffice_Level1Page"/>
          <w:r>
            <w:rPr>
              <w:rFonts w:hint="eastAsia" w:ascii="仿宋_GB2312" w:hAnsi="仿宋_GB2312" w:eastAsia="仿宋_GB2312" w:cs="仿宋_GB2312"/>
              <w:b/>
              <w:bCs/>
              <w:sz w:val="28"/>
              <w:szCs w:val="28"/>
              <w:highlight w:val="none"/>
            </w:rPr>
            <w:t>36</w:t>
          </w:r>
          <w:bookmarkEnd w:id="10"/>
          <w:r>
            <w:rPr>
              <w:rFonts w:hint="eastAsia" w:ascii="仿宋_GB2312" w:hAnsi="仿宋_GB2312" w:eastAsia="仿宋_GB2312" w:cs="仿宋_GB2312"/>
              <w:b/>
              <w:bCs/>
              <w:sz w:val="28"/>
              <w:szCs w:val="28"/>
              <w:highlight w:val="none"/>
            </w:rPr>
            <w:fldChar w:fldCharType="end"/>
          </w:r>
        </w:p>
        <w:p w14:paraId="1A367A13">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_Toc27730_WPSOffice_Level1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55512"/>
              <w:placeholder>
                <w:docPart w:val="{cd7df482-2d0d-47bc-9c73-7f2245ce7394}"/>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5、资格审查资料</w:t>
              </w:r>
            </w:sdtContent>
          </w:sdt>
          <w:r>
            <w:rPr>
              <w:rFonts w:hint="eastAsia" w:ascii="仿宋_GB2312" w:hAnsi="仿宋_GB2312" w:eastAsia="仿宋_GB2312" w:cs="仿宋_GB2312"/>
              <w:b/>
              <w:bCs/>
              <w:sz w:val="28"/>
              <w:szCs w:val="28"/>
              <w:highlight w:val="none"/>
            </w:rPr>
            <w:tab/>
          </w:r>
          <w:bookmarkStart w:id="11" w:name="_Toc27730_WPSOffice_Level1Page"/>
          <w:r>
            <w:rPr>
              <w:rFonts w:hint="eastAsia" w:ascii="仿宋_GB2312" w:hAnsi="仿宋_GB2312" w:eastAsia="仿宋_GB2312" w:cs="仿宋_GB2312"/>
              <w:b/>
              <w:bCs/>
              <w:sz w:val="28"/>
              <w:szCs w:val="28"/>
              <w:highlight w:val="none"/>
            </w:rPr>
            <w:t>36</w:t>
          </w:r>
          <w:bookmarkEnd w:id="11"/>
          <w:r>
            <w:rPr>
              <w:rFonts w:hint="eastAsia" w:ascii="仿宋_GB2312" w:hAnsi="仿宋_GB2312" w:eastAsia="仿宋_GB2312" w:cs="仿宋_GB2312"/>
              <w:b/>
              <w:bCs/>
              <w:sz w:val="28"/>
              <w:szCs w:val="28"/>
              <w:highlight w:val="none"/>
            </w:rPr>
            <w:fldChar w:fldCharType="end"/>
          </w:r>
        </w:p>
        <w:p w14:paraId="7140C023">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_Toc19580_WPSOffice_Level1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60201"/>
              <w:placeholder>
                <w:docPart w:val="{b985d993-bf46-4bf7-a804-6cac3911529b}"/>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6、报价表</w:t>
              </w:r>
            </w:sdtContent>
          </w:sdt>
          <w:r>
            <w:rPr>
              <w:rFonts w:hint="eastAsia" w:ascii="仿宋_GB2312" w:hAnsi="仿宋_GB2312" w:eastAsia="仿宋_GB2312" w:cs="仿宋_GB2312"/>
              <w:b/>
              <w:bCs/>
              <w:sz w:val="28"/>
              <w:szCs w:val="28"/>
              <w:highlight w:val="none"/>
            </w:rPr>
            <w:tab/>
          </w:r>
          <w:bookmarkStart w:id="12" w:name="_Toc19580_WPSOffice_Level1Page"/>
          <w:r>
            <w:rPr>
              <w:rFonts w:hint="eastAsia" w:ascii="仿宋_GB2312" w:hAnsi="仿宋_GB2312" w:eastAsia="仿宋_GB2312" w:cs="仿宋_GB2312"/>
              <w:b/>
              <w:bCs/>
              <w:sz w:val="28"/>
              <w:szCs w:val="28"/>
              <w:highlight w:val="none"/>
            </w:rPr>
            <w:t>38</w:t>
          </w:r>
          <w:bookmarkEnd w:id="12"/>
          <w:r>
            <w:rPr>
              <w:rFonts w:hint="eastAsia" w:ascii="仿宋_GB2312" w:hAnsi="仿宋_GB2312" w:eastAsia="仿宋_GB2312" w:cs="仿宋_GB2312"/>
              <w:b/>
              <w:bCs/>
              <w:sz w:val="28"/>
              <w:szCs w:val="28"/>
              <w:highlight w:val="none"/>
            </w:rPr>
            <w:fldChar w:fldCharType="end"/>
          </w:r>
        </w:p>
        <w:p w14:paraId="19303CDF">
          <w:pPr>
            <w:pStyle w:val="203"/>
            <w:shd w:val="clear"/>
            <w:tabs>
              <w:tab w:val="right" w:leader="dot" w:pos="9000"/>
            </w:tabs>
            <w:rPr>
              <w:rFonts w:hint="default" w:ascii="仿宋_GB2312" w:hAnsi="仿宋_GB2312" w:eastAsia="仿宋_GB2312" w:cs="仿宋_GB2312"/>
              <w:b/>
              <w:bCs/>
              <w:sz w:val="28"/>
              <w:szCs w:val="28"/>
              <w:highlight w:val="none"/>
              <w:lang w:val="en-US" w:eastAsia="zh-CN"/>
            </w:rPr>
          </w:pPr>
          <w:sdt>
            <w:sdtPr>
              <w:rPr>
                <w:rFonts w:hint="eastAsia" w:ascii="仿宋_GB2312" w:hAnsi="仿宋_GB2312" w:eastAsia="仿宋_GB2312" w:cs="仿宋_GB2312"/>
                <w:b/>
                <w:bCs/>
                <w:sz w:val="28"/>
                <w:szCs w:val="28"/>
                <w:highlight w:val="none"/>
                <w:lang w:val="en-US" w:eastAsia="zh-CN" w:bidi="ar-SA"/>
              </w:rPr>
              <w:id w:val="147468938"/>
              <w:placeholder>
                <w:docPart w:val="{9e8569bf-9e85-442e-9b7b-8b0c5d2a7663}"/>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rPr>
                <w:t>7、</w:t>
              </w:r>
              <w:r>
                <w:rPr>
                  <w:rFonts w:hint="eastAsia" w:ascii="仿宋_GB2312" w:hAnsi="仿宋_GB2312" w:eastAsia="仿宋_GB2312" w:cs="仿宋_GB2312"/>
                  <w:b/>
                  <w:bCs/>
                  <w:sz w:val="28"/>
                  <w:szCs w:val="28"/>
                  <w:highlight w:val="none"/>
                  <w:lang w:val="en-US" w:eastAsia="zh-CN"/>
                </w:rPr>
                <w:t>技术方案</w:t>
              </w:r>
            </w:sdtContent>
          </w:sdt>
          <w:r>
            <w:rPr>
              <w:rFonts w:hint="eastAsia" w:ascii="仿宋_GB2312" w:hAnsi="仿宋_GB2312" w:eastAsia="仿宋_GB2312" w:cs="仿宋_GB2312"/>
              <w:b/>
              <w:bCs/>
              <w:sz w:val="28"/>
              <w:szCs w:val="28"/>
              <w:highlight w:val="none"/>
            </w:rPr>
            <w:tab/>
          </w:r>
          <w:r>
            <w:rPr>
              <w:rFonts w:hint="eastAsia" w:ascii="仿宋_GB2312" w:hAnsi="仿宋_GB2312" w:eastAsia="仿宋_GB2312" w:cs="仿宋_GB2312"/>
              <w:b/>
              <w:bCs/>
              <w:sz w:val="28"/>
              <w:szCs w:val="28"/>
              <w:highlight w:val="none"/>
              <w:lang w:val="en-US" w:eastAsia="zh-CN"/>
            </w:rPr>
            <w:t>40</w:t>
          </w:r>
        </w:p>
        <w:p w14:paraId="3D716CB6">
          <w:pPr>
            <w:pStyle w:val="203"/>
            <w:shd w:val="clear"/>
            <w:tabs>
              <w:tab w:val="right" w:leader="dot" w:pos="9000"/>
            </w:tabs>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_Toc16334_WPSOffice_Level1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59529"/>
              <w:placeholder>
                <w:docPart w:val="{ea41b6b9-b3e2-4665-ba57-84d017007248}"/>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lang w:val="en-US" w:eastAsia="zh-CN"/>
                </w:rPr>
                <w:t>8</w:t>
              </w:r>
              <w:r>
                <w:rPr>
                  <w:rFonts w:hint="eastAsia" w:ascii="仿宋_GB2312" w:hAnsi="仿宋_GB2312" w:eastAsia="仿宋_GB2312" w:cs="仿宋_GB2312"/>
                  <w:b/>
                  <w:bCs/>
                  <w:sz w:val="28"/>
                  <w:szCs w:val="28"/>
                  <w:highlight w:val="none"/>
                </w:rPr>
                <w:t>、商务或技术偏差表</w:t>
              </w:r>
            </w:sdtContent>
          </w:sdt>
          <w:r>
            <w:rPr>
              <w:rFonts w:hint="eastAsia" w:ascii="仿宋_GB2312" w:hAnsi="仿宋_GB2312" w:eastAsia="仿宋_GB2312" w:cs="仿宋_GB2312"/>
              <w:b/>
              <w:bCs/>
              <w:sz w:val="28"/>
              <w:szCs w:val="28"/>
              <w:highlight w:val="none"/>
            </w:rPr>
            <w:tab/>
          </w:r>
          <w:bookmarkStart w:id="13" w:name="_Toc16334_WPSOffice_Level1Page"/>
          <w:r>
            <w:rPr>
              <w:rFonts w:hint="eastAsia" w:ascii="仿宋_GB2312" w:hAnsi="仿宋_GB2312" w:eastAsia="仿宋_GB2312" w:cs="仿宋_GB2312"/>
              <w:b/>
              <w:bCs/>
              <w:sz w:val="28"/>
              <w:szCs w:val="28"/>
              <w:highlight w:val="none"/>
            </w:rPr>
            <w:t>40</w:t>
          </w:r>
          <w:bookmarkEnd w:id="13"/>
          <w:r>
            <w:rPr>
              <w:rFonts w:hint="eastAsia" w:ascii="仿宋_GB2312" w:hAnsi="仿宋_GB2312" w:eastAsia="仿宋_GB2312" w:cs="仿宋_GB2312"/>
              <w:b/>
              <w:bCs/>
              <w:sz w:val="28"/>
              <w:szCs w:val="28"/>
              <w:highlight w:val="none"/>
            </w:rPr>
            <w:fldChar w:fldCharType="end"/>
          </w:r>
        </w:p>
        <w:p w14:paraId="135107C2">
          <w:pPr>
            <w:pStyle w:val="203"/>
            <w:shd w:val="clear"/>
            <w:tabs>
              <w:tab w:val="right" w:leader="dot" w:pos="9000"/>
            </w:tabs>
            <w:rPr>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\l _Toc27227_WPSOffice_Level1 </w:instrText>
          </w:r>
          <w:r>
            <w:rPr>
              <w:rFonts w:hint="eastAsia" w:ascii="仿宋_GB2312" w:hAnsi="仿宋_GB2312" w:eastAsia="仿宋_GB2312" w:cs="仿宋_GB2312"/>
              <w:b/>
              <w:bCs/>
              <w:sz w:val="28"/>
              <w:szCs w:val="28"/>
              <w:highlight w:val="none"/>
            </w:rPr>
            <w:fldChar w:fldCharType="separate"/>
          </w:r>
          <w:sdt>
            <w:sdtPr>
              <w:rPr>
                <w:rFonts w:hint="eastAsia" w:ascii="仿宋_GB2312" w:hAnsi="仿宋_GB2312" w:eastAsia="仿宋_GB2312" w:cs="仿宋_GB2312"/>
                <w:b/>
                <w:bCs/>
                <w:sz w:val="28"/>
                <w:szCs w:val="28"/>
                <w:highlight w:val="none"/>
                <w:lang w:val="en-US" w:eastAsia="zh-CN" w:bidi="ar-SA"/>
              </w:rPr>
              <w:id w:val="147477949"/>
              <w:placeholder>
                <w:docPart w:val="{2bb8ae50-9b2b-4e83-bd42-d0ed4c0d1e74}"/>
              </w:placeholder>
            </w:sdtPr>
            <w:sdtEndPr>
              <w:rPr>
                <w:rFonts w:hint="eastAsia" w:ascii="仿宋_GB2312" w:hAnsi="仿宋_GB2312" w:eastAsia="仿宋_GB2312" w:cs="仿宋_GB2312"/>
                <w:b/>
                <w:bCs/>
                <w:sz w:val="28"/>
                <w:szCs w:val="28"/>
                <w:highlight w:val="none"/>
                <w:lang w:val="en-US" w:eastAsia="zh-CN" w:bidi="ar-SA"/>
              </w:rPr>
            </w:sdtEndPr>
            <w:sdtContent>
              <w:r>
                <w:rPr>
                  <w:rFonts w:hint="eastAsia" w:ascii="仿宋_GB2312" w:hAnsi="仿宋_GB2312" w:eastAsia="仿宋_GB2312" w:cs="仿宋_GB2312"/>
                  <w:b/>
                  <w:bCs/>
                  <w:sz w:val="28"/>
                  <w:szCs w:val="28"/>
                  <w:highlight w:val="none"/>
                  <w:lang w:val="en-US" w:eastAsia="zh-CN"/>
                </w:rPr>
                <w:t>9</w:t>
              </w:r>
              <w:r>
                <w:rPr>
                  <w:rFonts w:hint="eastAsia" w:ascii="仿宋_GB2312" w:hAnsi="仿宋_GB2312" w:eastAsia="仿宋_GB2312" w:cs="仿宋_GB2312"/>
                  <w:b/>
                  <w:bCs/>
                  <w:sz w:val="28"/>
                  <w:szCs w:val="28"/>
                  <w:highlight w:val="none"/>
                </w:rPr>
                <w:t>、投标人认为应补充的其他资料</w:t>
              </w:r>
            </w:sdtContent>
          </w:sdt>
          <w:r>
            <w:rPr>
              <w:rFonts w:hint="eastAsia" w:ascii="仿宋_GB2312" w:hAnsi="仿宋_GB2312" w:eastAsia="仿宋_GB2312" w:cs="仿宋_GB2312"/>
              <w:b/>
              <w:bCs/>
              <w:sz w:val="28"/>
              <w:szCs w:val="28"/>
              <w:highlight w:val="none"/>
            </w:rPr>
            <w:tab/>
          </w:r>
          <w:bookmarkStart w:id="14" w:name="_Toc27227_WPSOffice_Level1Page"/>
          <w:r>
            <w:rPr>
              <w:rFonts w:hint="eastAsia" w:ascii="仿宋_GB2312" w:hAnsi="仿宋_GB2312" w:eastAsia="仿宋_GB2312" w:cs="仿宋_GB2312"/>
              <w:b/>
              <w:bCs/>
              <w:sz w:val="28"/>
              <w:szCs w:val="28"/>
              <w:highlight w:val="none"/>
            </w:rPr>
            <w:t>40</w:t>
          </w:r>
          <w:bookmarkEnd w:id="14"/>
          <w:r>
            <w:rPr>
              <w:rFonts w:hint="eastAsia" w:ascii="仿宋_GB2312" w:hAnsi="仿宋_GB2312" w:eastAsia="仿宋_GB2312" w:cs="仿宋_GB2312"/>
              <w:b/>
              <w:bCs/>
              <w:sz w:val="28"/>
              <w:szCs w:val="28"/>
              <w:highlight w:val="none"/>
            </w:rPr>
            <w:fldChar w:fldCharType="end"/>
          </w:r>
          <w:bookmarkEnd w:id="0"/>
        </w:p>
      </w:sdtContent>
    </w:sdt>
    <w:p w14:paraId="52F9E439">
      <w:pPr>
        <w:pStyle w:val="45"/>
        <w:shd w:val="clear"/>
        <w:rPr>
          <w:rFonts w:hint="eastAsia"/>
          <w:highlight w:val="none"/>
        </w:rPr>
      </w:pPr>
    </w:p>
    <w:p w14:paraId="5F188E88">
      <w:pPr>
        <w:shd w:val="clear"/>
        <w:spacing w:line="300" w:lineRule="auto"/>
        <w:jc w:val="center"/>
        <w:rPr>
          <w:rFonts w:hint="eastAsia" w:ascii="黑体" w:hAnsi="黑体" w:eastAsia="黑体"/>
          <w:b/>
          <w:color w:val="000000"/>
          <w:sz w:val="36"/>
          <w:szCs w:val="36"/>
          <w:highlight w:val="none"/>
        </w:rPr>
        <w:sectPr>
          <w:footerReference r:id="rId4" w:type="default"/>
          <w:pgSz w:w="11906" w:h="16838"/>
          <w:pgMar w:top="1440" w:right="1466" w:bottom="1440" w:left="1440" w:header="851" w:footer="992" w:gutter="0"/>
          <w:pgNumType w:fmt="decimal" w:start="1"/>
          <w:cols w:space="720" w:num="1"/>
          <w:docGrid w:type="linesAndChars" w:linePitch="312" w:charSpace="0"/>
        </w:sectPr>
      </w:pPr>
      <w:bookmarkStart w:id="15" w:name="_Toc18900_WPSOffice_Level1"/>
    </w:p>
    <w:p w14:paraId="0E164D96">
      <w:pPr>
        <w:shd w:val="clear"/>
        <w:spacing w:line="300" w:lineRule="auto"/>
        <w:jc w:val="center"/>
        <w:rPr>
          <w:rFonts w:hint="eastAsia" w:ascii="黑体" w:hAnsi="黑体" w:eastAsia="黑体"/>
          <w:b/>
          <w:color w:val="000000"/>
          <w:sz w:val="36"/>
          <w:szCs w:val="36"/>
          <w:highlight w:val="none"/>
        </w:rPr>
      </w:pPr>
      <w:bookmarkStart w:id="16" w:name="_Toc5950_WPSOffice_Level1"/>
      <w:r>
        <w:rPr>
          <w:rFonts w:hint="eastAsia" w:ascii="黑体" w:hAnsi="黑体" w:eastAsia="黑体"/>
          <w:b/>
          <w:color w:val="000000"/>
          <w:sz w:val="36"/>
          <w:szCs w:val="36"/>
          <w:highlight w:val="none"/>
        </w:rPr>
        <w:t>第一章</w:t>
      </w:r>
      <w:r>
        <w:rPr>
          <w:rFonts w:ascii="黑体" w:hAnsi="黑体" w:eastAsia="黑体"/>
          <w:b/>
          <w:color w:val="000000"/>
          <w:sz w:val="36"/>
          <w:szCs w:val="36"/>
          <w:highlight w:val="none"/>
        </w:rPr>
        <w:t xml:space="preserve"> </w:t>
      </w:r>
      <w:bookmarkStart w:id="17" w:name="_Toc446434284"/>
      <w:bookmarkEnd w:id="17"/>
      <w:r>
        <w:rPr>
          <w:rFonts w:hint="eastAsia" w:ascii="黑体" w:hAnsi="黑体" w:eastAsia="黑体"/>
          <w:b/>
          <w:color w:val="000000"/>
          <w:sz w:val="36"/>
          <w:szCs w:val="36"/>
          <w:highlight w:val="none"/>
        </w:rPr>
        <w:t xml:space="preserve">  招标公告</w:t>
      </w:r>
      <w:bookmarkEnd w:id="15"/>
      <w:bookmarkEnd w:id="16"/>
    </w:p>
    <w:p w14:paraId="2A4EEFE7">
      <w:pPr>
        <w:widowControl w:val="0"/>
        <w:shd w:val="clear"/>
        <w:spacing w:line="360" w:lineRule="auto"/>
        <w:rPr>
          <w:rFonts w:cs="Times New Roman"/>
          <w:b/>
          <w:bCs/>
          <w:kern w:val="2"/>
          <w:szCs w:val="22"/>
          <w:highlight w:val="none"/>
        </w:rPr>
      </w:pPr>
      <w:r>
        <w:rPr>
          <w:rFonts w:cs="Times New Roman"/>
          <w:b/>
          <w:bCs/>
          <w:kern w:val="2"/>
          <w:szCs w:val="22"/>
          <w:highlight w:val="none"/>
        </w:rPr>
        <w:t>一、</w:t>
      </w:r>
      <w:r>
        <w:rPr>
          <w:rFonts w:hint="eastAsia" w:cs="Times New Roman"/>
          <w:b/>
          <w:bCs/>
          <w:kern w:val="2"/>
          <w:szCs w:val="22"/>
          <w:highlight w:val="none"/>
        </w:rPr>
        <w:t>招标</w:t>
      </w:r>
      <w:r>
        <w:rPr>
          <w:rFonts w:cs="Times New Roman"/>
          <w:b/>
          <w:bCs/>
          <w:kern w:val="2"/>
          <w:szCs w:val="22"/>
          <w:highlight w:val="none"/>
        </w:rPr>
        <w:t>编号：</w:t>
      </w:r>
      <w:bookmarkStart w:id="199" w:name="_GoBack"/>
      <w:r>
        <w:rPr>
          <w:rFonts w:hint="eastAsia" w:cs="Times New Roman"/>
          <w:b/>
          <w:bCs/>
          <w:kern w:val="2"/>
          <w:szCs w:val="22"/>
          <w:highlight w:val="none"/>
        </w:rPr>
        <w:fldChar w:fldCharType="begin"/>
      </w:r>
      <w:r>
        <w:rPr>
          <w:rFonts w:hint="eastAsia" w:cs="Times New Roman"/>
          <w:b/>
          <w:bCs/>
          <w:kern w:val="2"/>
          <w:szCs w:val="22"/>
          <w:highlight w:val="none"/>
        </w:rPr>
        <w:instrText xml:space="preserve"> HYPERLINK "javascript:WebForm_DoPostBackWithOptions(new WebForm_PostBackOptions("LinkButton1", "", true, "", "", false, true))" </w:instrText>
      </w:r>
      <w:r>
        <w:rPr>
          <w:rFonts w:hint="eastAsia" w:cs="Times New Roman"/>
          <w:b/>
          <w:bCs/>
          <w:kern w:val="2"/>
          <w:szCs w:val="22"/>
          <w:highlight w:val="none"/>
        </w:rPr>
        <w:fldChar w:fldCharType="separate"/>
      </w:r>
      <w:r>
        <w:rPr>
          <w:rFonts w:hint="eastAsia" w:cs="Times New Roman"/>
          <w:b/>
          <w:bCs/>
          <w:kern w:val="2"/>
          <w:szCs w:val="22"/>
          <w:highlight w:val="none"/>
        </w:rPr>
        <w:t>1171251225001</w:t>
      </w:r>
      <w:r>
        <w:rPr>
          <w:rFonts w:hint="eastAsia" w:cs="Times New Roman"/>
          <w:b/>
          <w:bCs/>
          <w:kern w:val="2"/>
          <w:szCs w:val="22"/>
          <w:highlight w:val="none"/>
        </w:rPr>
        <w:fldChar w:fldCharType="end"/>
      </w:r>
      <w:bookmarkEnd w:id="199"/>
    </w:p>
    <w:p w14:paraId="014CAF7E">
      <w:pPr>
        <w:widowControl w:val="0"/>
        <w:shd w:val="clear"/>
        <w:spacing w:line="360" w:lineRule="auto"/>
        <w:rPr>
          <w:rFonts w:hint="default" w:eastAsia="宋体" w:cs="Times New Roman"/>
          <w:b/>
          <w:bCs/>
          <w:kern w:val="2"/>
          <w:szCs w:val="22"/>
          <w:highlight w:val="none"/>
          <w:lang w:val="en-US" w:eastAsia="zh-CN"/>
        </w:rPr>
      </w:pPr>
      <w:r>
        <w:rPr>
          <w:rFonts w:cs="Times New Roman"/>
          <w:b/>
          <w:bCs/>
          <w:kern w:val="2"/>
          <w:szCs w:val="22"/>
          <w:highlight w:val="none"/>
        </w:rPr>
        <w:t>二、</w:t>
      </w:r>
      <w:r>
        <w:rPr>
          <w:rFonts w:hint="eastAsia" w:cs="Times New Roman"/>
          <w:b/>
          <w:bCs/>
          <w:kern w:val="2"/>
          <w:szCs w:val="22"/>
          <w:highlight w:val="none"/>
        </w:rPr>
        <w:t>招标项目</w:t>
      </w:r>
      <w:r>
        <w:rPr>
          <w:rFonts w:cs="Times New Roman"/>
          <w:b/>
          <w:bCs/>
          <w:kern w:val="2"/>
          <w:szCs w:val="22"/>
          <w:highlight w:val="none"/>
        </w:rPr>
        <w:t>名称：</w:t>
      </w:r>
      <w:r>
        <w:rPr>
          <w:rFonts w:hint="eastAsia" w:cs="Times New Roman"/>
          <w:b/>
          <w:bCs/>
          <w:kern w:val="2"/>
          <w:szCs w:val="22"/>
          <w:highlight w:val="none"/>
          <w:lang w:eastAsia="zh-CN"/>
        </w:rPr>
        <w:t>皮重计量自助打印改造</w:t>
      </w:r>
      <w:r>
        <w:rPr>
          <w:rFonts w:hint="eastAsia" w:cs="Times New Roman"/>
          <w:b/>
          <w:bCs/>
          <w:kern w:val="2"/>
          <w:szCs w:val="22"/>
          <w:highlight w:val="none"/>
          <w:lang w:val="en-US" w:eastAsia="zh-CN"/>
        </w:rPr>
        <w:t>项目</w:t>
      </w:r>
    </w:p>
    <w:p w14:paraId="4E455309">
      <w:pPr>
        <w:widowControl w:val="0"/>
        <w:shd w:val="clear"/>
        <w:spacing w:line="360" w:lineRule="auto"/>
        <w:rPr>
          <w:rFonts w:hint="eastAsia" w:cs="Times New Roman"/>
          <w:b/>
          <w:bCs/>
          <w:kern w:val="2"/>
          <w:szCs w:val="22"/>
          <w:highlight w:val="none"/>
          <w:lang w:val="zh-CN"/>
        </w:rPr>
      </w:pPr>
      <w:r>
        <w:rPr>
          <w:rFonts w:hint="eastAsia" w:cs="Times New Roman"/>
          <w:b/>
          <w:bCs/>
          <w:kern w:val="2"/>
          <w:szCs w:val="22"/>
          <w:highlight w:val="none"/>
        </w:rPr>
        <w:t>三、</w:t>
      </w:r>
      <w:r>
        <w:rPr>
          <w:rFonts w:hint="eastAsia" w:cs="Times New Roman"/>
          <w:b/>
          <w:bCs/>
          <w:kern w:val="2"/>
          <w:szCs w:val="22"/>
          <w:highlight w:val="none"/>
          <w:lang w:val="zh-CN"/>
        </w:rPr>
        <w:t>项目概况与范围</w:t>
      </w:r>
    </w:p>
    <w:p w14:paraId="4422C12B">
      <w:pPr>
        <w:shd w:val="clear"/>
        <w:spacing w:line="360" w:lineRule="auto"/>
        <w:ind w:firstLine="480" w:firstLineChars="200"/>
        <w:rPr>
          <w:rFonts w:hint="eastAsia"/>
          <w:highlight w:val="none"/>
          <w:lang w:val="en-US" w:eastAsia="zh-CN"/>
        </w:rPr>
      </w:pPr>
      <w:r>
        <w:rPr>
          <w:rFonts w:hint="eastAsia"/>
          <w:highlight w:val="none"/>
          <w:lang w:val="en-US" w:eastAsia="zh-CN"/>
        </w:rPr>
        <w:t>1</w:t>
      </w:r>
      <w:r>
        <w:rPr>
          <w:rFonts w:hint="eastAsia"/>
          <w:highlight w:val="none"/>
          <w:lang w:val="zh-CN" w:eastAsia="zh-CN"/>
        </w:rPr>
        <w:t>、</w:t>
      </w:r>
      <w:r>
        <w:rPr>
          <w:rFonts w:hint="eastAsia"/>
          <w:highlight w:val="none"/>
          <w:lang w:val="en-US" w:eastAsia="zh-CN"/>
        </w:rPr>
        <w:t>项目概况：山东济钢环保新材料有限公司现有物流一卡通系统1套，具备车辆预约、微信小程序二维码识别、车辆信息匹配等功能。现存在问题如下：</w:t>
      </w:r>
    </w:p>
    <w:p w14:paraId="0034B612">
      <w:pPr>
        <w:shd w:val="clear"/>
        <w:spacing w:line="360" w:lineRule="auto"/>
        <w:ind w:firstLine="480" w:firstLineChars="200"/>
        <w:rPr>
          <w:rFonts w:hint="eastAsia"/>
          <w:highlight w:val="none"/>
          <w:lang w:val="en-US" w:eastAsia="zh-CN"/>
        </w:rPr>
      </w:pPr>
      <w:r>
        <w:rPr>
          <w:rFonts w:hint="default" w:ascii="Calibri" w:hAnsi="Calibri" w:cs="Calibri"/>
          <w:highlight w:val="none"/>
          <w:lang w:val="en-US" w:eastAsia="zh-CN"/>
        </w:rPr>
        <w:t>①</w:t>
      </w:r>
      <w:r>
        <w:rPr>
          <w:rFonts w:hint="eastAsia"/>
          <w:highlight w:val="none"/>
          <w:lang w:val="en-US" w:eastAsia="zh-CN"/>
        </w:rPr>
        <w:t>落地料及东、西矿区物料装车单仍需司机下车前往物流调度值班室打印，在车辆集中到达时易造成排队等待与区域拥堵，影响整体物流通行效率。</w:t>
      </w:r>
    </w:p>
    <w:p w14:paraId="46387BB8">
      <w:pPr>
        <w:shd w:val="clear"/>
        <w:spacing w:line="360" w:lineRule="auto"/>
        <w:ind w:firstLine="480" w:firstLineChars="200"/>
        <w:rPr>
          <w:rFonts w:hint="eastAsia"/>
          <w:highlight w:val="none"/>
          <w:lang w:val="en-US" w:eastAsia="zh-CN"/>
        </w:rPr>
      </w:pPr>
      <w:r>
        <w:rPr>
          <w:rFonts w:hint="default" w:ascii="Calibri" w:hAnsi="Calibri" w:cs="Calibri"/>
          <w:highlight w:val="none"/>
          <w:lang w:val="en-US" w:eastAsia="zh-CN"/>
        </w:rPr>
        <w:t>②</w:t>
      </w:r>
      <w:r>
        <w:rPr>
          <w:rFonts w:hint="eastAsia"/>
          <w:highlight w:val="none"/>
          <w:lang w:val="en-US" w:eastAsia="zh-CN"/>
        </w:rPr>
        <w:t>随着一卡通数据库数据量的增大且从未进行过数据库的巡检维护，计量报表存在查询速度慢、数据延迟等问题，报表查询功能需要优化升级。</w:t>
      </w:r>
    </w:p>
    <w:p w14:paraId="544906D4">
      <w:pPr>
        <w:shd w:val="clear"/>
        <w:spacing w:line="360" w:lineRule="auto"/>
        <w:ind w:firstLine="480" w:firstLineChars="200"/>
        <w:rPr>
          <w:rFonts w:hint="eastAsia"/>
          <w:highlight w:val="none"/>
          <w:lang w:val="zh-CN" w:eastAsia="zh-CN"/>
        </w:rPr>
      </w:pPr>
      <w:r>
        <w:rPr>
          <w:rFonts w:hint="eastAsia"/>
          <w:highlight w:val="none"/>
          <w:lang w:val="zh-CN" w:eastAsia="zh-CN"/>
        </w:rPr>
        <w:t>拟</w:t>
      </w:r>
      <w:r>
        <w:rPr>
          <w:rFonts w:hint="eastAsia"/>
          <w:highlight w:val="none"/>
          <w:lang w:val="en-US" w:eastAsia="zh-CN"/>
        </w:rPr>
        <w:t>对系统进行升级改造</w:t>
      </w:r>
      <w:r>
        <w:rPr>
          <w:rFonts w:hint="eastAsia"/>
          <w:highlight w:val="none"/>
          <w:lang w:val="zh-CN" w:eastAsia="zh-CN"/>
        </w:rPr>
        <w:t>，</w:t>
      </w:r>
      <w:r>
        <w:rPr>
          <w:rFonts w:hint="eastAsia"/>
          <w:highlight w:val="none"/>
          <w:lang w:val="en-US" w:eastAsia="zh-CN"/>
        </w:rPr>
        <w:t>增加装车单磅上自动打印功能，</w:t>
      </w:r>
      <w:r>
        <w:rPr>
          <w:rFonts w:hint="eastAsia"/>
          <w:highlight w:val="none"/>
          <w:lang w:val="zh-CN" w:eastAsia="zh-CN"/>
        </w:rPr>
        <w:t>同时</w:t>
      </w:r>
      <w:r>
        <w:rPr>
          <w:rFonts w:hint="eastAsia"/>
          <w:highlight w:val="none"/>
          <w:lang w:val="en-US" w:eastAsia="zh-CN"/>
        </w:rPr>
        <w:t>对</w:t>
      </w:r>
      <w:r>
        <w:rPr>
          <w:rFonts w:hint="eastAsia"/>
          <w:highlight w:val="none"/>
          <w:lang w:val="zh-CN" w:eastAsia="zh-CN"/>
        </w:rPr>
        <w:t>一卡通数据</w:t>
      </w:r>
      <w:r>
        <w:rPr>
          <w:rFonts w:hint="eastAsia"/>
          <w:highlight w:val="none"/>
          <w:lang w:val="en-US" w:eastAsia="zh-CN"/>
        </w:rPr>
        <w:t>库进行</w:t>
      </w:r>
      <w:r>
        <w:rPr>
          <w:rFonts w:hint="eastAsia"/>
          <w:highlight w:val="none"/>
          <w:lang w:val="zh-CN" w:eastAsia="zh-CN"/>
        </w:rPr>
        <w:t>巡检维护、优化升级计量系统报表查询功能</w:t>
      </w:r>
      <w:r>
        <w:rPr>
          <w:rFonts w:hint="eastAsia"/>
          <w:highlight w:val="none"/>
          <w:lang w:val="en-US" w:eastAsia="zh-CN"/>
        </w:rPr>
        <w:t>等</w:t>
      </w:r>
      <w:r>
        <w:rPr>
          <w:rFonts w:hint="eastAsia"/>
          <w:highlight w:val="none"/>
          <w:lang w:val="zh-CN" w:eastAsia="zh-CN"/>
        </w:rPr>
        <w:t>。依托现有物流一卡通/二维码识别能力和计量业务流程，将装车单打印环节嵌入皮重计量过程，实现司机不下车即可完成称重与装车单打印领取，进一步提升厂区物流运行效率。</w:t>
      </w:r>
    </w:p>
    <w:p w14:paraId="45125F83">
      <w:pPr>
        <w:numPr>
          <w:ilvl w:val="0"/>
          <w:numId w:val="2"/>
        </w:numPr>
        <w:shd w:val="clear"/>
        <w:spacing w:line="360" w:lineRule="auto"/>
        <w:ind w:firstLine="480" w:firstLineChars="200"/>
        <w:rPr>
          <w:rFonts w:hint="eastAsia"/>
          <w:highlight w:val="none"/>
          <w:lang w:val="zh-CN" w:eastAsia="zh-CN"/>
        </w:rPr>
      </w:pPr>
      <w:r>
        <w:rPr>
          <w:rFonts w:hint="eastAsia"/>
          <w:b w:val="0"/>
          <w:bCs w:val="0"/>
          <w:highlight w:val="none"/>
          <w:lang w:val="en-US" w:eastAsia="zh-CN"/>
        </w:rPr>
        <w:t>招标范围</w:t>
      </w:r>
    </w:p>
    <w:p w14:paraId="70E8B0C5">
      <w:pPr>
        <w:shd w:val="clear"/>
        <w:spacing w:line="360" w:lineRule="auto"/>
        <w:ind w:firstLine="480" w:firstLineChars="200"/>
        <w:rPr>
          <w:rFonts w:hint="eastAsia"/>
          <w:highlight w:val="none"/>
          <w:lang w:val="zh-CN" w:eastAsia="zh-CN"/>
        </w:rPr>
      </w:pPr>
      <w:r>
        <w:rPr>
          <w:rFonts w:hint="eastAsia"/>
          <w:highlight w:val="none"/>
          <w:lang w:val="zh-CN" w:eastAsia="zh-CN"/>
        </w:rPr>
        <w:t>本项目建设范围为厂区现有三台皮重计量终端的自助打印改造及配套系统部署、</w:t>
      </w:r>
      <w:r>
        <w:rPr>
          <w:rFonts w:hint="eastAsia"/>
          <w:highlight w:val="none"/>
          <w:lang w:val="en-US" w:eastAsia="zh-CN"/>
        </w:rPr>
        <w:t>计量报表系统优化升级、一卡通数据库巡检（1次），相应系统数据接口的对接、</w:t>
      </w:r>
      <w:r>
        <w:rPr>
          <w:rFonts w:hint="eastAsia"/>
          <w:sz w:val="24"/>
          <w:szCs w:val="24"/>
          <w:lang w:val="en-US"/>
        </w:rPr>
        <w:t>以及相关数据支撑环境健康检查与运行保障</w:t>
      </w:r>
      <w:r>
        <w:rPr>
          <w:rFonts w:hint="eastAsia"/>
          <w:highlight w:val="none"/>
          <w:lang w:val="zh-CN" w:eastAsia="zh-CN"/>
        </w:rPr>
        <w:t>。投标人须提供方案设计、设备供货、软件开发/配置、系统集成、安装调试、培训交付及质保运维等全流程服务，确保系统上线后稳定可靠、连续运行。</w:t>
      </w:r>
    </w:p>
    <w:tbl>
      <w:tblPr>
        <w:tblStyle w:val="46"/>
        <w:tblW w:w="8938" w:type="dxa"/>
        <w:jc w:val="center"/>
        <w:tblLayout w:type="fixed"/>
        <w:tblCellMar>
          <w:top w:w="0" w:type="dxa"/>
          <w:left w:w="108" w:type="dxa"/>
          <w:bottom w:w="0" w:type="dxa"/>
          <w:right w:w="108" w:type="dxa"/>
        </w:tblCellMar>
      </w:tblPr>
      <w:tblGrid>
        <w:gridCol w:w="720"/>
        <w:gridCol w:w="1858"/>
        <w:gridCol w:w="4792"/>
        <w:gridCol w:w="775"/>
        <w:gridCol w:w="793"/>
      </w:tblGrid>
      <w:tr w14:paraId="6FF7D24C">
        <w:tblPrEx>
          <w:tblCellMar>
            <w:top w:w="0" w:type="dxa"/>
            <w:left w:w="108" w:type="dxa"/>
            <w:bottom w:w="0" w:type="dxa"/>
            <w:right w:w="108" w:type="dxa"/>
          </w:tblCellMar>
        </w:tblPrEx>
        <w:trPr>
          <w:trHeight w:val="333" w:hRule="atLeast"/>
          <w:jc w:val="center"/>
        </w:trPr>
        <w:tc>
          <w:tcPr>
            <w:tcW w:w="720" w:type="dxa"/>
            <w:tcBorders>
              <w:top w:val="single" w:color="auto" w:sz="4" w:space="0"/>
              <w:left w:val="single" w:color="auto" w:sz="4" w:space="0"/>
              <w:bottom w:val="single" w:color="auto" w:sz="4" w:space="0"/>
              <w:right w:val="single" w:color="auto" w:sz="4" w:space="0"/>
            </w:tcBorders>
            <w:noWrap/>
            <w:vAlign w:val="bottom"/>
          </w:tcPr>
          <w:p w14:paraId="0DB0365E">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序号</w:t>
            </w:r>
          </w:p>
        </w:tc>
        <w:tc>
          <w:tcPr>
            <w:tcW w:w="1858" w:type="dxa"/>
            <w:tcBorders>
              <w:top w:val="single" w:color="auto" w:sz="4" w:space="0"/>
              <w:left w:val="nil"/>
              <w:bottom w:val="single" w:color="auto" w:sz="4" w:space="0"/>
              <w:right w:val="single" w:color="auto" w:sz="4" w:space="0"/>
            </w:tcBorders>
            <w:noWrap/>
            <w:vAlign w:val="bottom"/>
          </w:tcPr>
          <w:p w14:paraId="3C22745D">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名称</w:t>
            </w:r>
          </w:p>
        </w:tc>
        <w:tc>
          <w:tcPr>
            <w:tcW w:w="4792" w:type="dxa"/>
            <w:tcBorders>
              <w:top w:val="single" w:color="auto" w:sz="4" w:space="0"/>
              <w:left w:val="nil"/>
              <w:bottom w:val="single" w:color="auto" w:sz="4" w:space="0"/>
              <w:right w:val="single" w:color="auto" w:sz="4" w:space="0"/>
            </w:tcBorders>
          </w:tcPr>
          <w:p w14:paraId="1028F6DB">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规格描述</w:t>
            </w:r>
          </w:p>
        </w:tc>
        <w:tc>
          <w:tcPr>
            <w:tcW w:w="775" w:type="dxa"/>
            <w:tcBorders>
              <w:top w:val="single" w:color="auto" w:sz="4" w:space="0"/>
              <w:left w:val="single" w:color="auto" w:sz="4" w:space="0"/>
              <w:bottom w:val="single" w:color="auto" w:sz="4" w:space="0"/>
              <w:right w:val="single" w:color="auto" w:sz="4" w:space="0"/>
            </w:tcBorders>
            <w:noWrap/>
            <w:vAlign w:val="bottom"/>
          </w:tcPr>
          <w:p w14:paraId="10D6E0D1">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数量</w:t>
            </w:r>
          </w:p>
        </w:tc>
        <w:tc>
          <w:tcPr>
            <w:tcW w:w="793" w:type="dxa"/>
            <w:tcBorders>
              <w:top w:val="single" w:color="auto" w:sz="4" w:space="0"/>
              <w:left w:val="nil"/>
              <w:bottom w:val="single" w:color="auto" w:sz="4" w:space="0"/>
              <w:right w:val="single" w:color="auto" w:sz="4" w:space="0"/>
            </w:tcBorders>
            <w:noWrap/>
            <w:vAlign w:val="bottom"/>
          </w:tcPr>
          <w:p w14:paraId="1E7B5AE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单位</w:t>
            </w:r>
          </w:p>
        </w:tc>
      </w:tr>
      <w:tr w14:paraId="2FA3A726">
        <w:tblPrEx>
          <w:tblCellMar>
            <w:top w:w="0" w:type="dxa"/>
            <w:left w:w="108" w:type="dxa"/>
            <w:bottom w:w="0" w:type="dxa"/>
            <w:right w:w="108" w:type="dxa"/>
          </w:tblCellMar>
        </w:tblPrEx>
        <w:trPr>
          <w:trHeight w:val="1028" w:hRule="atLeast"/>
          <w:jc w:val="center"/>
        </w:trPr>
        <w:tc>
          <w:tcPr>
            <w:tcW w:w="720" w:type="dxa"/>
            <w:tcBorders>
              <w:top w:val="nil"/>
              <w:left w:val="single" w:color="auto" w:sz="4" w:space="0"/>
              <w:bottom w:val="single" w:color="auto" w:sz="4" w:space="0"/>
              <w:right w:val="single" w:color="auto" w:sz="4" w:space="0"/>
            </w:tcBorders>
            <w:noWrap/>
            <w:vAlign w:val="center"/>
          </w:tcPr>
          <w:p w14:paraId="114BA101">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w:t>
            </w:r>
          </w:p>
        </w:tc>
        <w:tc>
          <w:tcPr>
            <w:tcW w:w="1858" w:type="dxa"/>
            <w:tcBorders>
              <w:top w:val="nil"/>
              <w:left w:val="nil"/>
              <w:bottom w:val="single" w:color="auto" w:sz="4" w:space="0"/>
              <w:right w:val="single" w:color="auto" w:sz="4" w:space="0"/>
            </w:tcBorders>
            <w:noWrap/>
            <w:vAlign w:val="center"/>
          </w:tcPr>
          <w:p w14:paraId="1D6C4C5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装车单自助打印终端</w:t>
            </w:r>
          </w:p>
        </w:tc>
        <w:tc>
          <w:tcPr>
            <w:tcW w:w="4792" w:type="dxa"/>
            <w:tcBorders>
              <w:top w:val="nil"/>
              <w:left w:val="nil"/>
              <w:bottom w:val="single" w:color="auto" w:sz="4" w:space="0"/>
              <w:right w:val="single" w:color="auto" w:sz="4" w:space="0"/>
            </w:tcBorders>
            <w:vAlign w:val="center"/>
          </w:tcPr>
          <w:p w14:paraId="35C60EC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304不锈钢材质，包含：LED显示模组*1，工业票据打印机*2，正压风扇*1等</w:t>
            </w:r>
            <w:r>
              <w:rPr>
                <w:rFonts w:hint="eastAsia" w:cs="宋体"/>
                <w:color w:val="000000"/>
                <w:kern w:val="0"/>
                <w:sz w:val="24"/>
                <w:szCs w:val="24"/>
                <w:lang w:val="en-US" w:eastAsia="zh-CN"/>
              </w:rPr>
              <w:t>（含计量终端空调移位，原空调位置孔洞修复等内容）</w:t>
            </w:r>
            <w:r>
              <w:rPr>
                <w:rFonts w:hint="eastAsia" w:ascii="宋体" w:hAnsi="宋体" w:eastAsia="宋体" w:cs="宋体"/>
                <w:color w:val="000000"/>
                <w:kern w:val="0"/>
                <w:sz w:val="24"/>
                <w:szCs w:val="24"/>
                <w:lang w:val="en-US" w:eastAsia="zh-CN"/>
              </w:rPr>
              <w:t>。</w:t>
            </w:r>
          </w:p>
        </w:tc>
        <w:tc>
          <w:tcPr>
            <w:tcW w:w="775" w:type="dxa"/>
            <w:tcBorders>
              <w:top w:val="nil"/>
              <w:left w:val="single" w:color="auto" w:sz="4" w:space="0"/>
              <w:bottom w:val="single" w:color="auto" w:sz="4" w:space="0"/>
              <w:right w:val="single" w:color="auto" w:sz="4" w:space="0"/>
            </w:tcBorders>
            <w:noWrap/>
            <w:vAlign w:val="center"/>
          </w:tcPr>
          <w:p w14:paraId="5EB9D9E2">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w:t>
            </w:r>
          </w:p>
        </w:tc>
        <w:tc>
          <w:tcPr>
            <w:tcW w:w="793" w:type="dxa"/>
            <w:tcBorders>
              <w:top w:val="nil"/>
              <w:left w:val="nil"/>
              <w:bottom w:val="single" w:color="auto" w:sz="4" w:space="0"/>
              <w:right w:val="single" w:color="auto" w:sz="4" w:space="0"/>
            </w:tcBorders>
            <w:noWrap/>
            <w:vAlign w:val="center"/>
          </w:tcPr>
          <w:p w14:paraId="1AE88DFE">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r>
      <w:tr w14:paraId="04506C53">
        <w:tblPrEx>
          <w:tblCellMar>
            <w:top w:w="0" w:type="dxa"/>
            <w:left w:w="108" w:type="dxa"/>
            <w:bottom w:w="0" w:type="dxa"/>
            <w:right w:w="108" w:type="dxa"/>
          </w:tblCellMar>
        </w:tblPrEx>
        <w:trPr>
          <w:trHeight w:val="333" w:hRule="atLeast"/>
          <w:jc w:val="center"/>
        </w:trPr>
        <w:tc>
          <w:tcPr>
            <w:tcW w:w="720" w:type="dxa"/>
            <w:tcBorders>
              <w:top w:val="nil"/>
              <w:left w:val="single" w:color="auto" w:sz="4" w:space="0"/>
              <w:bottom w:val="single" w:color="auto" w:sz="4" w:space="0"/>
              <w:right w:val="single" w:color="auto" w:sz="4" w:space="0"/>
            </w:tcBorders>
            <w:noWrap/>
            <w:vAlign w:val="center"/>
          </w:tcPr>
          <w:p w14:paraId="2B081B0F">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2</w:t>
            </w:r>
          </w:p>
        </w:tc>
        <w:tc>
          <w:tcPr>
            <w:tcW w:w="1858" w:type="dxa"/>
            <w:tcBorders>
              <w:top w:val="nil"/>
              <w:left w:val="nil"/>
              <w:bottom w:val="single" w:color="auto" w:sz="4" w:space="0"/>
              <w:right w:val="single" w:color="auto" w:sz="4" w:space="0"/>
            </w:tcBorders>
            <w:noWrap/>
            <w:vAlign w:val="center"/>
          </w:tcPr>
          <w:p w14:paraId="7102DA93">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维护平台</w:t>
            </w:r>
          </w:p>
        </w:tc>
        <w:tc>
          <w:tcPr>
            <w:tcW w:w="4792" w:type="dxa"/>
            <w:tcBorders>
              <w:top w:val="nil"/>
              <w:left w:val="nil"/>
              <w:bottom w:val="single" w:color="auto" w:sz="4" w:space="0"/>
              <w:right w:val="single" w:color="auto" w:sz="4" w:space="0"/>
            </w:tcBorders>
            <w:vAlign w:val="center"/>
          </w:tcPr>
          <w:p w14:paraId="28363396">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根据现场定做</w:t>
            </w:r>
          </w:p>
        </w:tc>
        <w:tc>
          <w:tcPr>
            <w:tcW w:w="775" w:type="dxa"/>
            <w:tcBorders>
              <w:top w:val="nil"/>
              <w:left w:val="single" w:color="auto" w:sz="4" w:space="0"/>
              <w:bottom w:val="single" w:color="auto" w:sz="4" w:space="0"/>
              <w:right w:val="single" w:color="auto" w:sz="4" w:space="0"/>
            </w:tcBorders>
            <w:noWrap/>
            <w:vAlign w:val="center"/>
          </w:tcPr>
          <w:p w14:paraId="15883F3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w:t>
            </w:r>
          </w:p>
        </w:tc>
        <w:tc>
          <w:tcPr>
            <w:tcW w:w="793" w:type="dxa"/>
            <w:tcBorders>
              <w:top w:val="nil"/>
              <w:left w:val="nil"/>
              <w:bottom w:val="single" w:color="auto" w:sz="4" w:space="0"/>
              <w:right w:val="single" w:color="auto" w:sz="4" w:space="0"/>
            </w:tcBorders>
            <w:noWrap/>
            <w:vAlign w:val="center"/>
          </w:tcPr>
          <w:p w14:paraId="26EE576F">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r>
      <w:tr w14:paraId="07F11C83">
        <w:tblPrEx>
          <w:tblCellMar>
            <w:top w:w="0" w:type="dxa"/>
            <w:left w:w="108" w:type="dxa"/>
            <w:bottom w:w="0" w:type="dxa"/>
            <w:right w:w="108" w:type="dxa"/>
          </w:tblCellMar>
        </w:tblPrEx>
        <w:trPr>
          <w:trHeight w:val="945" w:hRule="atLeast"/>
          <w:jc w:val="center"/>
        </w:trPr>
        <w:tc>
          <w:tcPr>
            <w:tcW w:w="720" w:type="dxa"/>
            <w:tcBorders>
              <w:top w:val="nil"/>
              <w:left w:val="single" w:color="auto" w:sz="4" w:space="0"/>
              <w:bottom w:val="single" w:color="auto" w:sz="4" w:space="0"/>
              <w:right w:val="single" w:color="auto" w:sz="4" w:space="0"/>
            </w:tcBorders>
            <w:noWrap/>
            <w:vAlign w:val="center"/>
          </w:tcPr>
          <w:p w14:paraId="1C586639">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w:t>
            </w:r>
          </w:p>
        </w:tc>
        <w:tc>
          <w:tcPr>
            <w:tcW w:w="1858" w:type="dxa"/>
            <w:tcBorders>
              <w:top w:val="nil"/>
              <w:left w:val="nil"/>
              <w:bottom w:val="single" w:color="auto" w:sz="4" w:space="0"/>
              <w:right w:val="single" w:color="auto" w:sz="4" w:space="0"/>
            </w:tcBorders>
            <w:noWrap/>
            <w:vAlign w:val="center"/>
          </w:tcPr>
          <w:p w14:paraId="065669C9">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装车单磅上</w:t>
            </w:r>
            <w:r>
              <w:rPr>
                <w:rFonts w:hint="eastAsia" w:ascii="宋体" w:hAnsi="宋体" w:eastAsia="宋体" w:cs="宋体"/>
                <w:color w:val="000000"/>
                <w:kern w:val="0"/>
                <w:sz w:val="24"/>
                <w:szCs w:val="24"/>
                <w:lang w:val="en-US"/>
              </w:rPr>
              <w:t>自动</w:t>
            </w:r>
            <w:r>
              <w:rPr>
                <w:rFonts w:hint="eastAsia" w:ascii="宋体" w:hAnsi="宋体" w:eastAsia="宋体" w:cs="宋体"/>
                <w:color w:val="000000"/>
                <w:kern w:val="0"/>
                <w:sz w:val="24"/>
                <w:szCs w:val="24"/>
                <w:lang w:val="en-US" w:eastAsia="zh-CN"/>
              </w:rPr>
              <w:t>打印</w:t>
            </w:r>
            <w:r>
              <w:rPr>
                <w:rFonts w:hint="eastAsia" w:ascii="宋体" w:hAnsi="宋体" w:eastAsia="宋体" w:cs="宋体"/>
                <w:color w:val="000000"/>
                <w:kern w:val="0"/>
                <w:sz w:val="24"/>
                <w:szCs w:val="24"/>
                <w:lang w:val="en-US"/>
              </w:rPr>
              <w:t>系统</w:t>
            </w:r>
          </w:p>
        </w:tc>
        <w:tc>
          <w:tcPr>
            <w:tcW w:w="4792" w:type="dxa"/>
            <w:tcBorders>
              <w:top w:val="nil"/>
              <w:left w:val="nil"/>
              <w:bottom w:val="single" w:color="auto" w:sz="4" w:space="0"/>
              <w:right w:val="single" w:color="auto" w:sz="4" w:space="0"/>
            </w:tcBorders>
            <w:vAlign w:val="center"/>
          </w:tcPr>
          <w:p w14:paraId="537A78A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包含：物料维护、打印机监控、自动换班、日志管理、语音提示等功能</w:t>
            </w:r>
            <w:r>
              <w:rPr>
                <w:rFonts w:hint="eastAsia" w:ascii="宋体" w:hAnsi="宋体" w:eastAsia="宋体" w:cs="宋体"/>
                <w:color w:val="000000"/>
                <w:kern w:val="0"/>
                <w:sz w:val="24"/>
                <w:szCs w:val="24"/>
                <w:lang w:val="en-US" w:eastAsia="zh-CN"/>
              </w:rPr>
              <w:t>。</w:t>
            </w:r>
          </w:p>
        </w:tc>
        <w:tc>
          <w:tcPr>
            <w:tcW w:w="775" w:type="dxa"/>
            <w:tcBorders>
              <w:top w:val="nil"/>
              <w:left w:val="single" w:color="auto" w:sz="4" w:space="0"/>
              <w:bottom w:val="single" w:color="auto" w:sz="4" w:space="0"/>
              <w:right w:val="single" w:color="auto" w:sz="4" w:space="0"/>
            </w:tcBorders>
            <w:noWrap/>
            <w:vAlign w:val="center"/>
          </w:tcPr>
          <w:p w14:paraId="3C24E5A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w:t>
            </w:r>
          </w:p>
        </w:tc>
        <w:tc>
          <w:tcPr>
            <w:tcW w:w="793" w:type="dxa"/>
            <w:tcBorders>
              <w:top w:val="nil"/>
              <w:left w:val="nil"/>
              <w:bottom w:val="single" w:color="auto" w:sz="4" w:space="0"/>
              <w:right w:val="single" w:color="auto" w:sz="4" w:space="0"/>
            </w:tcBorders>
            <w:noWrap/>
            <w:vAlign w:val="center"/>
          </w:tcPr>
          <w:p w14:paraId="6E8B7396">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r>
      <w:tr w14:paraId="42A447CD">
        <w:tblPrEx>
          <w:tblCellMar>
            <w:top w:w="0" w:type="dxa"/>
            <w:left w:w="108" w:type="dxa"/>
            <w:bottom w:w="0" w:type="dxa"/>
            <w:right w:w="108" w:type="dxa"/>
          </w:tblCellMar>
        </w:tblPrEx>
        <w:trPr>
          <w:trHeight w:val="661" w:hRule="atLeast"/>
          <w:jc w:val="center"/>
        </w:trPr>
        <w:tc>
          <w:tcPr>
            <w:tcW w:w="720" w:type="dxa"/>
            <w:tcBorders>
              <w:top w:val="nil"/>
              <w:left w:val="single" w:color="auto" w:sz="4" w:space="0"/>
              <w:bottom w:val="single" w:color="auto" w:sz="4" w:space="0"/>
              <w:right w:val="single" w:color="auto" w:sz="4" w:space="0"/>
            </w:tcBorders>
            <w:noWrap/>
            <w:vAlign w:val="center"/>
          </w:tcPr>
          <w:p w14:paraId="1FE1E52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858" w:type="dxa"/>
            <w:tcBorders>
              <w:top w:val="nil"/>
              <w:left w:val="nil"/>
              <w:bottom w:val="single" w:color="auto" w:sz="4" w:space="0"/>
              <w:right w:val="single" w:color="auto" w:sz="4" w:space="0"/>
            </w:tcBorders>
            <w:noWrap/>
            <w:vAlign w:val="center"/>
          </w:tcPr>
          <w:p w14:paraId="7691CD80">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计量报表优化升级</w:t>
            </w:r>
          </w:p>
        </w:tc>
        <w:tc>
          <w:tcPr>
            <w:tcW w:w="4792" w:type="dxa"/>
            <w:tcBorders>
              <w:top w:val="nil"/>
              <w:left w:val="nil"/>
              <w:bottom w:val="single" w:color="auto" w:sz="4" w:space="0"/>
              <w:right w:val="single" w:color="auto" w:sz="4" w:space="0"/>
            </w:tcBorders>
            <w:vAlign w:val="center"/>
          </w:tcPr>
          <w:p w14:paraId="2931CDF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计量系统报表查询功能优化升级。</w:t>
            </w:r>
          </w:p>
        </w:tc>
        <w:tc>
          <w:tcPr>
            <w:tcW w:w="775" w:type="dxa"/>
            <w:tcBorders>
              <w:top w:val="nil"/>
              <w:left w:val="single" w:color="auto" w:sz="4" w:space="0"/>
              <w:bottom w:val="single" w:color="auto" w:sz="4" w:space="0"/>
              <w:right w:val="single" w:color="auto" w:sz="4" w:space="0"/>
            </w:tcBorders>
            <w:noWrap/>
            <w:vAlign w:val="center"/>
          </w:tcPr>
          <w:p w14:paraId="27DE79B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793" w:type="dxa"/>
            <w:tcBorders>
              <w:top w:val="nil"/>
              <w:left w:val="nil"/>
              <w:bottom w:val="single" w:color="auto" w:sz="4" w:space="0"/>
              <w:right w:val="single" w:color="auto" w:sz="4" w:space="0"/>
            </w:tcBorders>
            <w:noWrap/>
            <w:vAlign w:val="center"/>
          </w:tcPr>
          <w:p w14:paraId="668B21D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r>
      <w:tr w14:paraId="4CD38D24">
        <w:tblPrEx>
          <w:tblCellMar>
            <w:top w:w="0" w:type="dxa"/>
            <w:left w:w="108" w:type="dxa"/>
            <w:bottom w:w="0" w:type="dxa"/>
            <w:right w:w="108" w:type="dxa"/>
          </w:tblCellMar>
        </w:tblPrEx>
        <w:trPr>
          <w:trHeight w:val="720" w:hRule="atLeast"/>
          <w:jc w:val="center"/>
        </w:trPr>
        <w:tc>
          <w:tcPr>
            <w:tcW w:w="720" w:type="dxa"/>
            <w:tcBorders>
              <w:top w:val="nil"/>
              <w:left w:val="single" w:color="auto" w:sz="4" w:space="0"/>
              <w:bottom w:val="single" w:color="auto" w:sz="4" w:space="0"/>
              <w:right w:val="single" w:color="auto" w:sz="4" w:space="0"/>
            </w:tcBorders>
            <w:noWrap/>
            <w:vAlign w:val="center"/>
          </w:tcPr>
          <w:p w14:paraId="785DB46E">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858" w:type="dxa"/>
            <w:tcBorders>
              <w:top w:val="nil"/>
              <w:left w:val="nil"/>
              <w:bottom w:val="single" w:color="auto" w:sz="4" w:space="0"/>
              <w:right w:val="single" w:color="auto" w:sz="4" w:space="0"/>
            </w:tcBorders>
            <w:noWrap/>
            <w:vAlign w:val="center"/>
          </w:tcPr>
          <w:p w14:paraId="4B5BFF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一卡通数据库巡检</w:t>
            </w:r>
          </w:p>
        </w:tc>
        <w:tc>
          <w:tcPr>
            <w:tcW w:w="4792" w:type="dxa"/>
            <w:tcBorders>
              <w:top w:val="nil"/>
              <w:left w:val="nil"/>
              <w:bottom w:val="single" w:color="auto" w:sz="4" w:space="0"/>
              <w:right w:val="single" w:color="auto" w:sz="4" w:space="0"/>
            </w:tcBorders>
            <w:vAlign w:val="center"/>
          </w:tcPr>
          <w:p w14:paraId="1709C85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Oracle 数据库现状检查与诊断评估，出具巡检报告。</w:t>
            </w:r>
          </w:p>
        </w:tc>
        <w:tc>
          <w:tcPr>
            <w:tcW w:w="775" w:type="dxa"/>
            <w:tcBorders>
              <w:top w:val="nil"/>
              <w:left w:val="single" w:color="auto" w:sz="4" w:space="0"/>
              <w:bottom w:val="single" w:color="auto" w:sz="4" w:space="0"/>
              <w:right w:val="single" w:color="auto" w:sz="4" w:space="0"/>
            </w:tcBorders>
            <w:noWrap/>
            <w:vAlign w:val="center"/>
          </w:tcPr>
          <w:p w14:paraId="7674C32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793" w:type="dxa"/>
            <w:tcBorders>
              <w:top w:val="nil"/>
              <w:left w:val="nil"/>
              <w:bottom w:val="single" w:color="auto" w:sz="4" w:space="0"/>
              <w:right w:val="single" w:color="auto" w:sz="4" w:space="0"/>
            </w:tcBorders>
            <w:noWrap/>
            <w:vAlign w:val="center"/>
          </w:tcPr>
          <w:p w14:paraId="4C5FC99A">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r>
      <w:tr w14:paraId="27B5E5FC">
        <w:tblPrEx>
          <w:tblCellMar>
            <w:top w:w="0" w:type="dxa"/>
            <w:left w:w="108" w:type="dxa"/>
            <w:bottom w:w="0" w:type="dxa"/>
            <w:right w:w="108" w:type="dxa"/>
          </w:tblCellMar>
        </w:tblPrEx>
        <w:trPr>
          <w:trHeight w:val="6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B897DC6">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858" w:type="dxa"/>
            <w:tcBorders>
              <w:top w:val="single" w:color="auto" w:sz="4" w:space="0"/>
              <w:left w:val="nil"/>
              <w:bottom w:val="single" w:color="auto" w:sz="4" w:space="0"/>
              <w:right w:val="single" w:color="auto" w:sz="4" w:space="0"/>
            </w:tcBorders>
            <w:noWrap/>
            <w:vAlign w:val="center"/>
          </w:tcPr>
          <w:p w14:paraId="24AAEC39">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一卡通系统接口</w:t>
            </w:r>
          </w:p>
        </w:tc>
        <w:tc>
          <w:tcPr>
            <w:tcW w:w="4792" w:type="dxa"/>
            <w:tcBorders>
              <w:top w:val="single" w:color="auto" w:sz="4" w:space="0"/>
              <w:left w:val="nil"/>
              <w:bottom w:val="single" w:color="auto" w:sz="4" w:space="0"/>
              <w:right w:val="single" w:color="auto" w:sz="4" w:space="0"/>
            </w:tcBorders>
            <w:vAlign w:val="center"/>
          </w:tcPr>
          <w:p w14:paraId="4C3511A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实现与一卡通系统和自动打单系统的对接</w:t>
            </w:r>
            <w:r>
              <w:rPr>
                <w:rFonts w:hint="eastAsia" w:ascii="宋体" w:hAnsi="宋体" w:eastAsia="宋体" w:cs="宋体"/>
                <w:color w:val="000000"/>
                <w:kern w:val="0"/>
                <w:sz w:val="24"/>
                <w:szCs w:val="24"/>
                <w:lang w:val="en-US" w:eastAsia="zh-CN"/>
              </w:rPr>
              <w:t>。</w:t>
            </w:r>
          </w:p>
        </w:tc>
        <w:tc>
          <w:tcPr>
            <w:tcW w:w="775" w:type="dxa"/>
            <w:tcBorders>
              <w:top w:val="single" w:color="auto" w:sz="4" w:space="0"/>
              <w:left w:val="single" w:color="auto" w:sz="4" w:space="0"/>
              <w:bottom w:val="single" w:color="auto" w:sz="4" w:space="0"/>
              <w:right w:val="single" w:color="auto" w:sz="4" w:space="0"/>
            </w:tcBorders>
            <w:noWrap/>
            <w:vAlign w:val="center"/>
          </w:tcPr>
          <w:p w14:paraId="2AF26645">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w:t>
            </w:r>
          </w:p>
        </w:tc>
        <w:tc>
          <w:tcPr>
            <w:tcW w:w="793" w:type="dxa"/>
            <w:tcBorders>
              <w:top w:val="single" w:color="auto" w:sz="4" w:space="0"/>
              <w:left w:val="nil"/>
              <w:bottom w:val="single" w:color="auto" w:sz="4" w:space="0"/>
              <w:right w:val="single" w:color="auto" w:sz="4" w:space="0"/>
            </w:tcBorders>
            <w:noWrap/>
            <w:vAlign w:val="center"/>
          </w:tcPr>
          <w:p w14:paraId="304A268E">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r>
      <w:tr w14:paraId="3E4127A8">
        <w:tblPrEx>
          <w:tblCellMar>
            <w:top w:w="0" w:type="dxa"/>
            <w:left w:w="108" w:type="dxa"/>
            <w:bottom w:w="0" w:type="dxa"/>
            <w:right w:w="108" w:type="dxa"/>
          </w:tblCellMar>
        </w:tblPrEx>
        <w:trPr>
          <w:trHeight w:val="667" w:hRule="atLeast"/>
          <w:jc w:val="center"/>
        </w:trPr>
        <w:tc>
          <w:tcPr>
            <w:tcW w:w="8938" w:type="dxa"/>
            <w:gridSpan w:val="5"/>
            <w:tcBorders>
              <w:top w:val="single" w:color="auto" w:sz="4" w:space="0"/>
              <w:left w:val="single" w:color="auto" w:sz="4" w:space="0"/>
              <w:bottom w:val="single" w:color="auto" w:sz="4" w:space="0"/>
              <w:right w:val="single" w:color="auto" w:sz="4" w:space="0"/>
            </w:tcBorders>
            <w:noWrap/>
            <w:vAlign w:val="center"/>
          </w:tcPr>
          <w:p w14:paraId="57E2570A">
            <w:pPr>
              <w:widowControl/>
              <w:jc w:val="left"/>
              <w:rPr>
                <w:rFonts w:hint="default" w:ascii="宋体" w:hAnsi="宋体" w:eastAsia="宋体" w:cs="宋体"/>
                <w:color w:val="000000"/>
                <w:kern w:val="0"/>
                <w:sz w:val="24"/>
                <w:szCs w:val="24"/>
                <w:lang w:val="en-US"/>
              </w:rPr>
            </w:pPr>
            <w:r>
              <w:rPr>
                <w:rFonts w:hint="eastAsia" w:cs="宋体"/>
                <w:color w:val="000000"/>
                <w:kern w:val="0"/>
                <w:sz w:val="24"/>
                <w:szCs w:val="24"/>
                <w:lang w:val="en-US" w:eastAsia="zh-CN"/>
              </w:rPr>
              <w:t>注：改造项目需与原计量系统进行融合。</w:t>
            </w:r>
          </w:p>
        </w:tc>
      </w:tr>
    </w:tbl>
    <w:p w14:paraId="67298115">
      <w:pPr>
        <w:numPr>
          <w:ilvl w:val="0"/>
          <w:numId w:val="2"/>
        </w:numPr>
        <w:shd w:val="clear"/>
        <w:spacing w:line="360" w:lineRule="auto"/>
        <w:ind w:firstLine="480" w:firstLineChars="200"/>
        <w:rPr>
          <w:rFonts w:hint="eastAsia"/>
          <w:highlight w:val="none"/>
          <w:lang w:val="zh-CN" w:eastAsia="zh-CN"/>
        </w:rPr>
      </w:pPr>
      <w:r>
        <w:rPr>
          <w:rFonts w:hint="eastAsia" w:ascii="宋体" w:hAnsi="宋体" w:eastAsia="宋体" w:cs="宋体"/>
          <w:kern w:val="0"/>
          <w:sz w:val="24"/>
          <w:highlight w:val="none"/>
        </w:rPr>
        <w:t>工期：</w:t>
      </w:r>
      <w:r>
        <w:rPr>
          <w:rFonts w:hint="eastAsia" w:ascii="宋体" w:hAnsi="宋体" w:eastAsia="宋体" w:cs="宋体"/>
          <w:kern w:val="0"/>
          <w:sz w:val="24"/>
          <w:highlight w:val="none"/>
          <w:lang w:val="zh-CN"/>
        </w:rPr>
        <w:t>自签订合同</w:t>
      </w:r>
      <w:r>
        <w:rPr>
          <w:rFonts w:hint="eastAsia" w:cs="宋体"/>
          <w:b/>
          <w:bCs/>
          <w:kern w:val="0"/>
          <w:sz w:val="24"/>
          <w:highlight w:val="none"/>
          <w:u w:val="single"/>
          <w:lang w:val="en-US" w:eastAsia="zh-CN"/>
        </w:rPr>
        <w:t>7</w:t>
      </w:r>
      <w:r>
        <w:rPr>
          <w:rFonts w:hint="eastAsia" w:ascii="宋体" w:hAnsi="宋体" w:eastAsia="宋体" w:cs="宋体"/>
          <w:b/>
          <w:bCs/>
          <w:kern w:val="0"/>
          <w:sz w:val="24"/>
          <w:highlight w:val="none"/>
          <w:u w:val="single"/>
        </w:rPr>
        <w:t>个</w:t>
      </w:r>
      <w:r>
        <w:rPr>
          <w:rFonts w:hint="eastAsia" w:ascii="宋体" w:hAnsi="宋体" w:cs="宋体"/>
          <w:kern w:val="0"/>
          <w:sz w:val="24"/>
          <w:highlight w:val="none"/>
          <w:lang w:val="en-US" w:eastAsia="zh-CN"/>
        </w:rPr>
        <w:t>日历天</w:t>
      </w:r>
      <w:r>
        <w:rPr>
          <w:rFonts w:hint="eastAsia" w:ascii="宋体" w:hAnsi="宋体" w:eastAsia="宋体" w:cs="宋体"/>
          <w:kern w:val="0"/>
          <w:sz w:val="24"/>
          <w:highlight w:val="none"/>
          <w:lang w:val="zh-CN"/>
        </w:rPr>
        <w:t>内全部</w:t>
      </w:r>
      <w:r>
        <w:rPr>
          <w:rFonts w:hint="eastAsia" w:ascii="宋体" w:hAnsi="宋体" w:eastAsia="宋体" w:cs="宋体"/>
          <w:kern w:val="0"/>
          <w:sz w:val="24"/>
          <w:highlight w:val="none"/>
        </w:rPr>
        <w:t>安装调试完成</w:t>
      </w:r>
      <w:r>
        <w:rPr>
          <w:rFonts w:hint="eastAsia" w:ascii="宋体" w:hAnsi="宋体" w:eastAsia="宋体" w:cs="宋体"/>
          <w:kern w:val="0"/>
          <w:sz w:val="24"/>
          <w:highlight w:val="none"/>
          <w:lang w:val="zh-CN"/>
        </w:rPr>
        <w:t>。</w:t>
      </w:r>
    </w:p>
    <w:p w14:paraId="34CCCC67">
      <w:pPr>
        <w:numPr>
          <w:ilvl w:val="0"/>
          <w:numId w:val="2"/>
        </w:numPr>
        <w:shd w:val="clear"/>
        <w:spacing w:line="360" w:lineRule="auto"/>
        <w:ind w:firstLine="480" w:firstLineChars="200"/>
        <w:rPr>
          <w:rFonts w:hint="eastAsia"/>
          <w:highlight w:val="none"/>
          <w:lang w:val="zh-CN" w:eastAsia="zh-CN"/>
        </w:rPr>
      </w:pPr>
      <w:r>
        <w:rPr>
          <w:rFonts w:hint="eastAsia"/>
          <w:highlight w:val="none"/>
          <w:lang w:val="zh-CN"/>
        </w:rPr>
        <w:t>承包方式：</w:t>
      </w:r>
      <w:r>
        <w:rPr>
          <w:rFonts w:hint="eastAsia"/>
          <w:highlight w:val="none"/>
          <w:lang w:val="en-US" w:eastAsia="zh-CN"/>
        </w:rPr>
        <w:t xml:space="preserve">包工包料 </w:t>
      </w:r>
    </w:p>
    <w:p w14:paraId="2EA02028">
      <w:pPr>
        <w:numPr>
          <w:ilvl w:val="0"/>
          <w:numId w:val="2"/>
        </w:numPr>
        <w:shd w:val="clear"/>
        <w:spacing w:line="360" w:lineRule="auto"/>
        <w:ind w:firstLine="480" w:firstLineChars="200"/>
        <w:rPr>
          <w:rFonts w:hint="eastAsia"/>
          <w:highlight w:val="none"/>
          <w:lang w:val="zh-CN" w:eastAsia="zh-CN"/>
        </w:rPr>
      </w:pPr>
      <w:r>
        <w:rPr>
          <w:rFonts w:hint="eastAsia" w:ascii="宋体" w:hAnsi="宋体" w:eastAsia="宋体" w:cs="宋体"/>
          <w:kern w:val="0"/>
          <w:sz w:val="24"/>
          <w:highlight w:val="none"/>
          <w:lang w:val="zh-CN"/>
        </w:rPr>
        <w:t>结算方式：</w:t>
      </w:r>
      <w:r>
        <w:rPr>
          <w:rFonts w:hint="eastAsia" w:ascii="宋体" w:hAnsi="宋体" w:eastAsia="宋体" w:cs="宋体"/>
          <w:kern w:val="0"/>
          <w:sz w:val="24"/>
          <w:highlight w:val="none"/>
        </w:rPr>
        <w:t>安装调试完成，</w:t>
      </w:r>
      <w:r>
        <w:rPr>
          <w:rFonts w:hint="eastAsia" w:ascii="宋体" w:hAnsi="宋体" w:eastAsia="宋体" w:cs="宋体"/>
          <w:kern w:val="0"/>
          <w:sz w:val="24"/>
          <w:highlight w:val="none"/>
          <w:lang w:val="en-US" w:eastAsia="zh-CN"/>
        </w:rPr>
        <w:t>系统运行正常，</w:t>
      </w:r>
      <w:r>
        <w:rPr>
          <w:rFonts w:hint="eastAsia" w:ascii="宋体" w:hAnsi="宋体" w:eastAsia="宋体" w:cs="宋体"/>
          <w:kern w:val="0"/>
          <w:sz w:val="24"/>
          <w:highlight w:val="none"/>
        </w:rPr>
        <w:t>双方</w:t>
      </w:r>
      <w:r>
        <w:rPr>
          <w:rFonts w:hint="eastAsia" w:ascii="宋体" w:hAnsi="宋体" w:eastAsia="宋体" w:cs="宋体"/>
          <w:kern w:val="0"/>
          <w:sz w:val="24"/>
          <w:highlight w:val="none"/>
          <w:lang w:val="zh-CN"/>
        </w:rPr>
        <w:t>验收无异议，</w:t>
      </w:r>
      <w:r>
        <w:rPr>
          <w:rFonts w:hint="eastAsia" w:ascii="宋体" w:hAnsi="宋体" w:eastAsia="宋体" w:cs="宋体"/>
          <w:kern w:val="0"/>
          <w:sz w:val="24"/>
          <w:highlight w:val="none"/>
          <w:lang w:val="en-US" w:eastAsia="zh-CN"/>
        </w:rPr>
        <w:t>乙</w:t>
      </w:r>
      <w:r>
        <w:rPr>
          <w:rFonts w:hint="eastAsia" w:ascii="宋体" w:hAnsi="宋体" w:eastAsia="宋体" w:cs="宋体"/>
          <w:kern w:val="0"/>
          <w:sz w:val="24"/>
          <w:highlight w:val="none"/>
          <w:lang w:val="zh-CN"/>
        </w:rPr>
        <w:t>方向</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lang w:val="zh-CN"/>
        </w:rPr>
        <w:t>方开具增值税发票后，</w:t>
      </w:r>
      <w:r>
        <w:rPr>
          <w:rFonts w:hint="eastAsia" w:ascii="宋体" w:hAnsi="宋体" w:eastAsia="宋体" w:cs="宋体"/>
          <w:color w:val="000000"/>
          <w:kern w:val="0"/>
          <w:sz w:val="24"/>
          <w:highlight w:val="none"/>
          <w:lang w:val="en-US" w:eastAsia="zh-CN"/>
        </w:rPr>
        <w:t>甲</w:t>
      </w:r>
      <w:r>
        <w:rPr>
          <w:rFonts w:hint="eastAsia" w:ascii="宋体" w:hAnsi="宋体" w:eastAsia="宋体" w:cs="宋体"/>
          <w:color w:val="000000"/>
          <w:kern w:val="0"/>
          <w:sz w:val="24"/>
          <w:highlight w:val="none"/>
          <w:lang w:val="zh-CN"/>
        </w:rPr>
        <w:t>方以</w:t>
      </w:r>
      <w:r>
        <w:rPr>
          <w:rFonts w:hint="eastAsia" w:ascii="宋体" w:hAnsi="宋体" w:eastAsia="宋体" w:cs="宋体"/>
          <w:b/>
          <w:bCs/>
          <w:color w:val="000000"/>
          <w:kern w:val="0"/>
          <w:sz w:val="24"/>
          <w:highlight w:val="none"/>
          <w:u w:val="single"/>
          <w:lang w:val="en-US" w:eastAsia="zh-CN"/>
        </w:rPr>
        <w:t>电汇</w:t>
      </w:r>
      <w:r>
        <w:rPr>
          <w:rFonts w:hint="eastAsia" w:ascii="宋体" w:hAnsi="宋体" w:eastAsia="宋体" w:cs="宋体"/>
          <w:b/>
          <w:bCs/>
          <w:color w:val="000000"/>
          <w:kern w:val="0"/>
          <w:sz w:val="24"/>
          <w:highlight w:val="none"/>
          <w:u w:val="single"/>
          <w:lang w:val="zh-CN"/>
        </w:rPr>
        <w:t>方式</w:t>
      </w:r>
      <w:r>
        <w:rPr>
          <w:rFonts w:hint="eastAsia" w:ascii="宋体" w:hAnsi="宋体" w:eastAsia="宋体" w:cs="宋体"/>
          <w:color w:val="000000"/>
          <w:kern w:val="0"/>
          <w:sz w:val="24"/>
          <w:highlight w:val="none"/>
          <w:lang w:val="zh-CN"/>
        </w:rPr>
        <w:t>向供方付款。</w:t>
      </w:r>
    </w:p>
    <w:p w14:paraId="4ADEF687">
      <w:pPr>
        <w:numPr>
          <w:ilvl w:val="0"/>
          <w:numId w:val="2"/>
        </w:numPr>
        <w:shd w:val="clear"/>
        <w:spacing w:line="360" w:lineRule="auto"/>
        <w:ind w:firstLine="480" w:firstLineChars="200"/>
        <w:rPr>
          <w:rFonts w:hint="eastAsia"/>
          <w:highlight w:val="none"/>
          <w:lang w:val="zh-CN" w:eastAsia="zh-CN"/>
        </w:rPr>
      </w:pPr>
      <w:r>
        <w:rPr>
          <w:rFonts w:hint="eastAsia"/>
          <w:highlight w:val="none"/>
          <w:lang w:val="zh-CN" w:eastAsia="zh-CN"/>
        </w:rPr>
        <w:t>结算进度：验收通过并收到100%发票后30个工作日内支付100%款项。</w:t>
      </w:r>
    </w:p>
    <w:p w14:paraId="414BB72A">
      <w:pPr>
        <w:numPr>
          <w:ilvl w:val="0"/>
          <w:numId w:val="2"/>
        </w:numPr>
        <w:shd w:val="clear"/>
        <w:spacing w:line="360" w:lineRule="auto"/>
        <w:ind w:firstLine="480" w:firstLineChars="200"/>
        <w:rPr>
          <w:rFonts w:hint="eastAsia"/>
          <w:highlight w:val="green"/>
          <w:lang w:val="zh-CN" w:eastAsia="zh-CN"/>
        </w:rPr>
      </w:pPr>
      <w:r>
        <w:rPr>
          <w:rFonts w:hint="eastAsia" w:ascii="宋体" w:hAnsi="宋体" w:eastAsia="宋体" w:cs="宋体"/>
          <w:kern w:val="0"/>
          <w:sz w:val="24"/>
          <w:highlight w:val="none"/>
        </w:rPr>
        <w:t>质保期：</w:t>
      </w:r>
      <w:r>
        <w:rPr>
          <w:rFonts w:hint="eastAsia" w:ascii="宋体" w:hAnsi="宋体" w:eastAsia="宋体" w:cs="宋体"/>
          <w:sz w:val="24"/>
          <w:highlight w:val="green"/>
          <w:lang w:val="zh-CN"/>
        </w:rPr>
        <w:t>符合国家、行业相关质量验收标准，质保期</w:t>
      </w:r>
      <w:r>
        <w:rPr>
          <w:rFonts w:hint="eastAsia" w:ascii="宋体" w:hAnsi="宋体" w:eastAsia="宋体" w:cs="宋体"/>
          <w:b/>
          <w:bCs/>
          <w:sz w:val="24"/>
          <w:highlight w:val="green"/>
          <w:u w:val="single"/>
        </w:rPr>
        <w:t>12</w:t>
      </w:r>
      <w:r>
        <w:rPr>
          <w:rFonts w:hint="eastAsia" w:ascii="宋体" w:hAnsi="宋体" w:eastAsia="宋体" w:cs="宋体"/>
          <w:sz w:val="24"/>
          <w:highlight w:val="green"/>
          <w:lang w:val="zh-CN"/>
        </w:rPr>
        <w:t>个月</w:t>
      </w:r>
      <w:r>
        <w:rPr>
          <w:rFonts w:hint="eastAsia" w:cs="宋体"/>
          <w:sz w:val="24"/>
          <w:highlight w:val="green"/>
          <w:lang w:val="en-US" w:eastAsia="zh-CN"/>
        </w:rPr>
        <w:t>。</w:t>
      </w:r>
    </w:p>
    <w:p w14:paraId="3244AC0D">
      <w:pPr>
        <w:numPr>
          <w:ilvl w:val="0"/>
          <w:numId w:val="2"/>
        </w:numPr>
        <w:shd w:val="clear"/>
        <w:spacing w:line="360" w:lineRule="auto"/>
        <w:ind w:firstLine="480" w:firstLineChars="200"/>
        <w:rPr>
          <w:rFonts w:hint="eastAsia"/>
          <w:highlight w:val="none"/>
          <w:lang w:val="zh-CN" w:eastAsia="zh-CN"/>
        </w:rPr>
      </w:pPr>
      <w:r>
        <w:rPr>
          <w:rFonts w:hint="eastAsia" w:ascii="宋体" w:hAnsi="宋体" w:eastAsia="宋体" w:cs="宋体"/>
          <w:highlight w:val="none"/>
          <w:lang w:val="en-US" w:eastAsia="zh-CN"/>
        </w:rPr>
        <w:t>最高限价（元）：350000</w:t>
      </w:r>
      <w:r>
        <w:rPr>
          <w:rFonts w:hint="eastAsia" w:cs="宋体"/>
          <w:highlight w:val="none"/>
          <w:lang w:val="en-US" w:eastAsia="zh-CN"/>
        </w:rPr>
        <w:t>元</w:t>
      </w:r>
      <w:r>
        <w:rPr>
          <w:rFonts w:hint="eastAsia" w:ascii="宋体" w:hAnsi="宋体" w:eastAsia="宋体" w:cs="宋体"/>
          <w:highlight w:val="none"/>
          <w:lang w:val="en-US" w:eastAsia="zh-CN"/>
        </w:rPr>
        <w:t>（</w:t>
      </w:r>
      <w:r>
        <w:rPr>
          <w:rFonts w:hint="eastAsia" w:cs="宋体"/>
          <w:highlight w:val="none"/>
          <w:lang w:val="en-US" w:eastAsia="zh-CN"/>
        </w:rPr>
        <w:t>投标</w:t>
      </w:r>
      <w:r>
        <w:rPr>
          <w:rFonts w:hint="eastAsia" w:ascii="宋体" w:hAnsi="宋体" w:eastAsia="宋体" w:cs="宋体"/>
          <w:highlight w:val="none"/>
          <w:lang w:val="en-US" w:eastAsia="zh-CN"/>
        </w:rPr>
        <w:t>人投标报价超过最高限价的按无效投标处理）</w:t>
      </w:r>
    </w:p>
    <w:p w14:paraId="489744B4">
      <w:pPr>
        <w:pStyle w:val="45"/>
        <w:shd w:val="clear"/>
        <w:spacing w:after="0" w:line="360" w:lineRule="auto"/>
        <w:ind w:left="0" w:leftChars="0" w:firstLine="0" w:firstLineChars="0"/>
        <w:jc w:val="left"/>
        <w:rPr>
          <w:b/>
          <w:bCs/>
          <w:kern w:val="2"/>
          <w:szCs w:val="22"/>
          <w:highlight w:val="none"/>
        </w:rPr>
      </w:pPr>
      <w:r>
        <w:rPr>
          <w:b/>
          <w:bCs/>
          <w:kern w:val="2"/>
          <w:szCs w:val="22"/>
          <w:highlight w:val="none"/>
        </w:rPr>
        <w:t>四、</w:t>
      </w:r>
      <w:r>
        <w:rPr>
          <w:rFonts w:hint="eastAsia"/>
          <w:b/>
          <w:bCs/>
          <w:kern w:val="2"/>
          <w:szCs w:val="22"/>
          <w:highlight w:val="none"/>
        </w:rPr>
        <w:t>投标人</w:t>
      </w:r>
      <w:r>
        <w:rPr>
          <w:b/>
          <w:bCs/>
          <w:kern w:val="2"/>
          <w:szCs w:val="22"/>
          <w:highlight w:val="none"/>
        </w:rPr>
        <w:t>资格要求</w:t>
      </w:r>
    </w:p>
    <w:p w14:paraId="64BC16E3">
      <w:pPr>
        <w:shd w:val="clear"/>
        <w:spacing w:line="360" w:lineRule="auto"/>
        <w:ind w:firstLine="480" w:firstLineChars="200"/>
        <w:rPr>
          <w:rFonts w:hint="eastAsia"/>
          <w:highlight w:val="none"/>
          <w:lang w:val="zh-CN"/>
        </w:rPr>
      </w:pPr>
      <w:r>
        <w:rPr>
          <w:rFonts w:hint="eastAsia"/>
          <w:highlight w:val="none"/>
          <w:lang w:val="zh-CN"/>
        </w:rPr>
        <w:t>1、企业资质：注册资金100万及以上、依法成立，具有法人资格和一般纳税人资格，具有与本次采购项目相应的经营范围，</w:t>
      </w:r>
      <w:r>
        <w:rPr>
          <w:rFonts w:hint="eastAsia" w:cs="Times New Roman"/>
          <w:kern w:val="2"/>
          <w:szCs w:val="22"/>
          <w:highlight w:val="none"/>
          <w:lang w:val="zh-CN"/>
        </w:rPr>
        <w:t>相关人员持有相应的特种作业操作证</w:t>
      </w:r>
      <w:r>
        <w:rPr>
          <w:rFonts w:hint="eastAsia" w:ascii="宋体" w:hAnsi="宋体" w:eastAsia="宋体" w:cs="宋体"/>
          <w:highlight w:val="none"/>
          <w:lang w:val="zh-CN"/>
        </w:rPr>
        <w:t>；</w:t>
      </w:r>
    </w:p>
    <w:p w14:paraId="37EB36FB">
      <w:pPr>
        <w:shd w:val="clear"/>
        <w:spacing w:line="360" w:lineRule="auto"/>
        <w:ind w:firstLine="480" w:firstLineChars="200"/>
        <w:rPr>
          <w:rFonts w:hint="eastAsia"/>
          <w:highlight w:val="none"/>
          <w:lang w:val="zh-CN"/>
        </w:rPr>
      </w:pPr>
      <w:r>
        <w:rPr>
          <w:rFonts w:hint="eastAsia"/>
          <w:highlight w:val="none"/>
          <w:lang w:val="zh-CN"/>
        </w:rPr>
        <w:t>2、具有良好的企业信誉和健全的财务会计制度；</w:t>
      </w:r>
    </w:p>
    <w:p w14:paraId="43736FC1">
      <w:pPr>
        <w:shd w:val="clear"/>
        <w:spacing w:line="360" w:lineRule="auto"/>
        <w:ind w:firstLine="480" w:firstLineChars="200"/>
        <w:rPr>
          <w:rFonts w:hint="eastAsia"/>
          <w:highlight w:val="none"/>
          <w:lang w:val="zh-CN"/>
        </w:rPr>
      </w:pPr>
      <w:r>
        <w:rPr>
          <w:rFonts w:hint="eastAsia"/>
          <w:highlight w:val="none"/>
          <w:lang w:val="zh-CN"/>
        </w:rPr>
        <w:t>3、有依法缴纳税收和社会保障金的良好纪录；</w:t>
      </w:r>
    </w:p>
    <w:p w14:paraId="2105773A">
      <w:pPr>
        <w:shd w:val="clear"/>
        <w:spacing w:line="360" w:lineRule="auto"/>
        <w:ind w:firstLine="480" w:firstLineChars="200"/>
        <w:rPr>
          <w:rFonts w:hint="eastAsia"/>
          <w:highlight w:val="none"/>
          <w:lang w:val="zh-CN"/>
        </w:rPr>
      </w:pPr>
      <w:r>
        <w:rPr>
          <w:rFonts w:hint="eastAsia"/>
          <w:highlight w:val="none"/>
          <w:lang w:val="en-US" w:eastAsia="zh-CN"/>
        </w:rPr>
        <w:t>4</w:t>
      </w:r>
      <w:r>
        <w:rPr>
          <w:rFonts w:hint="eastAsia"/>
          <w:highlight w:val="none"/>
          <w:lang w:val="zh-CN"/>
        </w:rPr>
        <w:t>、</w:t>
      </w:r>
      <w:r>
        <w:rPr>
          <w:rFonts w:hint="eastAsia"/>
          <w:sz w:val="24"/>
        </w:rPr>
        <w:t>近三年</w:t>
      </w:r>
      <w:r>
        <w:rPr>
          <w:rFonts w:hint="eastAsia"/>
          <w:sz w:val="24"/>
          <w:lang w:eastAsia="zh-CN"/>
        </w:rPr>
        <w:t>（</w:t>
      </w:r>
      <w:r>
        <w:rPr>
          <w:rFonts w:hint="eastAsia"/>
          <w:sz w:val="24"/>
          <w:lang w:val="en-US" w:eastAsia="zh-CN"/>
        </w:rPr>
        <w:t>2022年12月-至今</w:t>
      </w:r>
      <w:r>
        <w:rPr>
          <w:rFonts w:hint="eastAsia"/>
          <w:sz w:val="24"/>
          <w:lang w:eastAsia="zh-CN"/>
        </w:rPr>
        <w:t>）</w:t>
      </w:r>
      <w:r>
        <w:rPr>
          <w:rFonts w:hint="eastAsia"/>
          <w:sz w:val="24"/>
        </w:rPr>
        <w:t>完成过</w:t>
      </w:r>
      <w:r>
        <w:rPr>
          <w:rFonts w:hint="eastAsia"/>
          <w:sz w:val="24"/>
          <w:lang w:eastAsia="zh-CN"/>
        </w:rPr>
        <w:t>同类项目</w:t>
      </w:r>
      <w:r>
        <w:rPr>
          <w:rFonts w:hint="eastAsia"/>
          <w:sz w:val="24"/>
        </w:rPr>
        <w:t>的业绩</w:t>
      </w:r>
      <w:r>
        <w:rPr>
          <w:rFonts w:hint="eastAsia"/>
          <w:sz w:val="24"/>
          <w:lang w:eastAsia="zh-CN"/>
        </w:rPr>
        <w:t>（</w:t>
      </w:r>
      <w:r>
        <w:rPr>
          <w:rFonts w:hint="eastAsia"/>
          <w:sz w:val="24"/>
          <w:lang w:val="en-US" w:eastAsia="zh-CN"/>
        </w:rPr>
        <w:t>需要提供相应证明性资料</w:t>
      </w:r>
      <w:r>
        <w:rPr>
          <w:rFonts w:hint="eastAsia"/>
          <w:sz w:val="24"/>
          <w:lang w:eastAsia="zh-CN"/>
        </w:rPr>
        <w:t>）</w:t>
      </w:r>
    </w:p>
    <w:p w14:paraId="69FB9025">
      <w:pPr>
        <w:shd w:val="clear"/>
        <w:spacing w:line="360" w:lineRule="auto"/>
        <w:ind w:firstLine="480" w:firstLineChars="200"/>
        <w:rPr>
          <w:rFonts w:hint="eastAsia"/>
          <w:highlight w:val="none"/>
          <w:lang w:val="zh-CN"/>
        </w:rPr>
      </w:pPr>
      <w:r>
        <w:rPr>
          <w:rFonts w:hint="eastAsia"/>
          <w:highlight w:val="none"/>
          <w:lang w:val="en-US" w:eastAsia="zh-CN"/>
        </w:rPr>
        <w:t>5</w:t>
      </w:r>
      <w:r>
        <w:rPr>
          <w:rFonts w:hint="eastAsia"/>
          <w:highlight w:val="none"/>
          <w:lang w:val="zh-CN"/>
        </w:rPr>
        <w:t>、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9D97F96">
      <w:pPr>
        <w:shd w:val="clear"/>
        <w:spacing w:line="360" w:lineRule="auto"/>
        <w:ind w:firstLine="480" w:firstLineChars="200"/>
        <w:rPr>
          <w:rFonts w:hint="eastAsia"/>
          <w:highlight w:val="none"/>
          <w:lang w:val="zh-CN"/>
        </w:rPr>
      </w:pPr>
      <w:r>
        <w:rPr>
          <w:rFonts w:hint="eastAsia"/>
          <w:highlight w:val="none"/>
          <w:lang w:val="en-US" w:eastAsia="zh-CN"/>
        </w:rPr>
        <w:t>6</w:t>
      </w:r>
      <w:r>
        <w:rPr>
          <w:rFonts w:hint="eastAsia"/>
          <w:highlight w:val="none"/>
          <w:lang w:val="zh-CN"/>
        </w:rPr>
        <w:t>、如有单位资料造假，一经发现，立即在网上公示，并永久取消投标资格。</w:t>
      </w:r>
    </w:p>
    <w:p w14:paraId="36111F17">
      <w:pPr>
        <w:shd w:val="clear"/>
        <w:spacing w:line="360" w:lineRule="auto"/>
        <w:rPr>
          <w:rFonts w:hint="eastAsia"/>
          <w:b/>
          <w:bCs/>
          <w:highlight w:val="none"/>
        </w:rPr>
      </w:pPr>
      <w:r>
        <w:rPr>
          <w:rFonts w:hint="eastAsia" w:cs="Times New Roman"/>
          <w:b/>
          <w:bCs/>
          <w:kern w:val="2"/>
          <w:szCs w:val="22"/>
          <w:highlight w:val="none"/>
        </w:rPr>
        <w:t>五、</w:t>
      </w:r>
      <w:r>
        <w:rPr>
          <w:rFonts w:hint="eastAsia"/>
          <w:b/>
          <w:bCs/>
          <w:highlight w:val="none"/>
        </w:rPr>
        <w:t>公告和报名</w:t>
      </w:r>
    </w:p>
    <w:p w14:paraId="67F4A9BF">
      <w:pPr>
        <w:shd w:val="clear"/>
        <w:spacing w:line="360" w:lineRule="auto"/>
        <w:ind w:firstLine="480" w:firstLineChars="200"/>
        <w:rPr>
          <w:rFonts w:hint="eastAsia"/>
          <w:highlight w:val="none"/>
        </w:rPr>
      </w:pPr>
      <w:r>
        <w:rPr>
          <w:rFonts w:hint="eastAsia"/>
          <w:highlight w:val="none"/>
        </w:rPr>
        <w:t>1、报名方式：通过登录济钢集团有限公司阳光购销平台网上报名(</w:t>
      </w:r>
      <w:r>
        <w:rPr>
          <w:rFonts w:hint="eastAsia"/>
          <w:highlight w:val="none"/>
          <w:lang w:val="zh-CN"/>
        </w:rPr>
        <w:t>不接受线下报名</w:t>
      </w:r>
      <w:r>
        <w:rPr>
          <w:rFonts w:hint="eastAsia"/>
          <w:highlight w:val="none"/>
        </w:rPr>
        <w:t>)，平台网址：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xml:space="preserve">/； </w:t>
      </w:r>
    </w:p>
    <w:p w14:paraId="441F9C55">
      <w:pPr>
        <w:shd w:val="clear"/>
        <w:spacing w:line="360" w:lineRule="auto"/>
        <w:ind w:firstLine="480" w:firstLineChars="200"/>
        <w:rPr>
          <w:rFonts w:hint="eastAsia"/>
          <w:highlight w:val="none"/>
        </w:rPr>
      </w:pPr>
      <w:r>
        <w:rPr>
          <w:rFonts w:hint="eastAsia"/>
          <w:highlight w:val="none"/>
        </w:rPr>
        <w:t>2、公告和报名时间：20</w:t>
      </w:r>
      <w:r>
        <w:rPr>
          <w:rFonts w:hint="eastAsia"/>
          <w:highlight w:val="none"/>
          <w:lang w:val="en-US" w:eastAsia="zh-CN"/>
        </w:rPr>
        <w:t>25</w:t>
      </w:r>
      <w:r>
        <w:rPr>
          <w:rFonts w:hint="eastAsia"/>
          <w:highlight w:val="none"/>
        </w:rPr>
        <w:t>年</w:t>
      </w:r>
      <w:r>
        <w:rPr>
          <w:rFonts w:hint="eastAsia"/>
          <w:highlight w:val="none"/>
          <w:lang w:val="en-US" w:eastAsia="zh-CN"/>
        </w:rPr>
        <w:t xml:space="preserve"> 12</w:t>
      </w:r>
      <w:r>
        <w:rPr>
          <w:rFonts w:hint="eastAsia"/>
          <w:highlight w:val="none"/>
        </w:rPr>
        <w:t>月</w:t>
      </w:r>
      <w:r>
        <w:rPr>
          <w:rFonts w:hint="eastAsia"/>
          <w:highlight w:val="none"/>
          <w:lang w:val="en-US" w:eastAsia="zh-CN"/>
        </w:rPr>
        <w:t>25</w:t>
      </w:r>
      <w:r>
        <w:rPr>
          <w:rFonts w:hint="eastAsia"/>
          <w:highlight w:val="none"/>
        </w:rPr>
        <w:t>日～202</w:t>
      </w:r>
      <w:r>
        <w:rPr>
          <w:rFonts w:hint="eastAsia"/>
          <w:highlight w:val="none"/>
          <w:lang w:val="en-US" w:eastAsia="zh-CN"/>
        </w:rPr>
        <w:t>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30</w:t>
      </w:r>
      <w:r>
        <w:rPr>
          <w:rFonts w:hint="eastAsia"/>
          <w:highlight w:val="none"/>
        </w:rPr>
        <w:t>日（北京时间）。</w:t>
      </w:r>
    </w:p>
    <w:p w14:paraId="45245D74">
      <w:pPr>
        <w:shd w:val="clear"/>
        <w:spacing w:line="360" w:lineRule="auto"/>
        <w:ind w:firstLine="480" w:firstLineChars="200"/>
        <w:rPr>
          <w:rFonts w:hint="default" w:eastAsia="宋体"/>
          <w:highlight w:val="none"/>
          <w:lang w:val="en-US" w:eastAsia="zh-CN"/>
        </w:rPr>
      </w:pPr>
      <w:r>
        <w:rPr>
          <w:rFonts w:hint="eastAsia"/>
          <w:highlight w:val="none"/>
          <w:lang w:val="en-US" w:eastAsia="zh-CN"/>
        </w:rPr>
        <w:t>3、踏</w:t>
      </w:r>
      <w:r>
        <w:rPr>
          <w:rFonts w:hint="eastAsia"/>
          <w:highlight w:val="yellow"/>
          <w:lang w:val="en-US" w:eastAsia="zh-CN"/>
        </w:rPr>
        <w:t>勘现场时间：2025年12月31日上午8:30-11:30，下午14:00-16:30，不踏勘现场的视为无效投标（踏勘现场时自备安全帽）（请各投标单位</w:t>
      </w:r>
      <w:r>
        <w:rPr>
          <w:rFonts w:hint="eastAsia"/>
          <w:highlight w:val="none"/>
          <w:lang w:val="en-US" w:eastAsia="zh-CN"/>
        </w:rPr>
        <w:t>踏</w:t>
      </w:r>
      <w:r>
        <w:rPr>
          <w:rFonts w:hint="eastAsia"/>
          <w:highlight w:val="yellow"/>
          <w:lang w:val="en-US" w:eastAsia="zh-CN"/>
        </w:rPr>
        <w:t>勘现场前，联系业务联系人确定</w:t>
      </w:r>
      <w:r>
        <w:rPr>
          <w:rFonts w:hint="eastAsia"/>
          <w:highlight w:val="none"/>
          <w:lang w:val="en-US" w:eastAsia="zh-CN"/>
        </w:rPr>
        <w:t>踏</w:t>
      </w:r>
      <w:r>
        <w:rPr>
          <w:rFonts w:hint="eastAsia"/>
          <w:highlight w:val="yellow"/>
          <w:lang w:val="en-US" w:eastAsia="zh-CN"/>
        </w:rPr>
        <w:t>勘现场时间）</w:t>
      </w:r>
      <w:r>
        <w:rPr>
          <w:rFonts w:hint="eastAsia"/>
          <w:highlight w:val="none"/>
          <w:lang w:val="en-US" w:eastAsia="zh-CN"/>
        </w:rPr>
        <w:t>。</w:t>
      </w:r>
    </w:p>
    <w:p w14:paraId="2141F08E">
      <w:pPr>
        <w:widowControl w:val="0"/>
        <w:shd w:val="clear"/>
        <w:spacing w:line="360" w:lineRule="auto"/>
        <w:rPr>
          <w:rFonts w:cs="Times New Roman"/>
          <w:b/>
          <w:bCs/>
          <w:kern w:val="2"/>
          <w:szCs w:val="22"/>
          <w:highlight w:val="none"/>
        </w:rPr>
      </w:pPr>
      <w:r>
        <w:rPr>
          <w:rFonts w:hint="eastAsia" w:cs="Times New Roman"/>
          <w:b/>
          <w:bCs/>
          <w:kern w:val="2"/>
          <w:szCs w:val="22"/>
          <w:highlight w:val="none"/>
        </w:rPr>
        <w:t>六</w:t>
      </w:r>
      <w:r>
        <w:rPr>
          <w:rFonts w:cs="Times New Roman"/>
          <w:b/>
          <w:bCs/>
          <w:kern w:val="2"/>
          <w:szCs w:val="22"/>
          <w:highlight w:val="none"/>
        </w:rPr>
        <w:t>、</w:t>
      </w:r>
      <w:r>
        <w:rPr>
          <w:rFonts w:hint="eastAsia" w:cs="Times New Roman"/>
          <w:b/>
          <w:bCs/>
          <w:kern w:val="2"/>
          <w:szCs w:val="22"/>
          <w:highlight w:val="none"/>
        </w:rPr>
        <w:t>开标时间和方式</w:t>
      </w:r>
    </w:p>
    <w:p w14:paraId="3D6E2A8C">
      <w:pPr>
        <w:widowControl w:val="0"/>
        <w:shd w:val="clear"/>
        <w:spacing w:line="360" w:lineRule="auto"/>
        <w:ind w:firstLine="480" w:firstLineChars="200"/>
        <w:rPr>
          <w:rFonts w:cs="Times New Roman"/>
          <w:kern w:val="2"/>
          <w:szCs w:val="22"/>
          <w:highlight w:val="none"/>
        </w:rPr>
      </w:pPr>
      <w:r>
        <w:rPr>
          <w:rFonts w:cs="Times New Roman"/>
          <w:kern w:val="2"/>
          <w:szCs w:val="22"/>
          <w:highlight w:val="none"/>
        </w:rPr>
        <w:t>1、</w:t>
      </w:r>
      <w:r>
        <w:rPr>
          <w:rFonts w:hint="eastAsia" w:cs="Times New Roman"/>
          <w:kern w:val="2"/>
          <w:szCs w:val="22"/>
          <w:highlight w:val="none"/>
        </w:rPr>
        <w:t>开标</w:t>
      </w:r>
      <w:r>
        <w:rPr>
          <w:rFonts w:cs="Times New Roman"/>
          <w:kern w:val="2"/>
          <w:szCs w:val="22"/>
          <w:highlight w:val="none"/>
        </w:rPr>
        <w:t>时间：</w:t>
      </w:r>
      <w:r>
        <w:rPr>
          <w:rFonts w:hint="eastAsia" w:cs="Times New Roman"/>
          <w:kern w:val="2"/>
          <w:szCs w:val="22"/>
          <w:highlight w:val="none"/>
        </w:rPr>
        <w:t>202</w:t>
      </w:r>
      <w:r>
        <w:rPr>
          <w:rFonts w:hint="eastAsia" w:cs="Times New Roman"/>
          <w:kern w:val="2"/>
          <w:szCs w:val="22"/>
          <w:highlight w:val="none"/>
          <w:lang w:val="en-US" w:eastAsia="zh-CN"/>
        </w:rPr>
        <w:t>6</w:t>
      </w:r>
      <w:r>
        <w:rPr>
          <w:rFonts w:hint="eastAsia" w:cs="Times New Roman"/>
          <w:kern w:val="2"/>
          <w:szCs w:val="22"/>
          <w:highlight w:val="none"/>
        </w:rPr>
        <w:t>年</w:t>
      </w:r>
      <w:r>
        <w:rPr>
          <w:rFonts w:hint="eastAsia" w:cs="Times New Roman"/>
          <w:kern w:val="2"/>
          <w:szCs w:val="22"/>
          <w:highlight w:val="none"/>
          <w:lang w:val="en-US" w:eastAsia="zh-CN"/>
        </w:rPr>
        <w:t>1</w:t>
      </w:r>
      <w:r>
        <w:rPr>
          <w:rFonts w:hint="eastAsia" w:cs="Times New Roman"/>
          <w:kern w:val="2"/>
          <w:szCs w:val="22"/>
          <w:highlight w:val="none"/>
        </w:rPr>
        <w:t>月</w:t>
      </w:r>
      <w:r>
        <w:rPr>
          <w:rFonts w:hint="eastAsia" w:cs="Times New Roman"/>
          <w:kern w:val="2"/>
          <w:szCs w:val="22"/>
          <w:highlight w:val="none"/>
          <w:lang w:val="en-US" w:eastAsia="zh-CN"/>
        </w:rPr>
        <w:t>5</w:t>
      </w:r>
      <w:r>
        <w:rPr>
          <w:rFonts w:hint="eastAsia" w:cs="Times New Roman"/>
          <w:kern w:val="2"/>
          <w:szCs w:val="22"/>
          <w:highlight w:val="none"/>
        </w:rPr>
        <w:t>日上午9点</w:t>
      </w:r>
      <w:r>
        <w:rPr>
          <w:rFonts w:cs="Times New Roman"/>
          <w:kern w:val="2"/>
          <w:szCs w:val="22"/>
          <w:highlight w:val="none"/>
        </w:rPr>
        <w:t>；</w:t>
      </w:r>
    </w:p>
    <w:p w14:paraId="72C0E16D">
      <w:pPr>
        <w:widowControl w:val="0"/>
        <w:shd w:val="clear"/>
        <w:spacing w:line="360" w:lineRule="auto"/>
        <w:ind w:firstLine="480" w:firstLineChars="200"/>
        <w:rPr>
          <w:rFonts w:hint="eastAsia"/>
          <w:highlight w:val="none"/>
        </w:rPr>
      </w:pPr>
      <w:r>
        <w:rPr>
          <w:rFonts w:cs="Times New Roman"/>
          <w:kern w:val="2"/>
          <w:szCs w:val="22"/>
          <w:highlight w:val="none"/>
        </w:rPr>
        <w:t>2、</w:t>
      </w:r>
      <w:r>
        <w:rPr>
          <w:rFonts w:hint="eastAsia"/>
          <w:highlight w:val="none"/>
        </w:rPr>
        <w:t>开标方式：</w:t>
      </w:r>
      <w:r>
        <w:rPr>
          <w:rFonts w:hint="eastAsia"/>
          <w:highlight w:val="none"/>
          <w:lang w:val="en-US" w:eastAsia="zh-CN"/>
        </w:rPr>
        <w:t>网上/电话</w:t>
      </w:r>
      <w:r>
        <w:rPr>
          <w:rFonts w:hint="eastAsia"/>
          <w:highlight w:val="none"/>
        </w:rPr>
        <w:t>开标。</w:t>
      </w:r>
    </w:p>
    <w:p w14:paraId="07958A73">
      <w:pPr>
        <w:shd w:val="clear"/>
        <w:spacing w:line="360" w:lineRule="auto"/>
        <w:rPr>
          <w:rFonts w:hint="eastAsia" w:cs="Times New Roman"/>
          <w:b/>
          <w:bCs/>
          <w:kern w:val="2"/>
          <w:szCs w:val="22"/>
          <w:highlight w:val="none"/>
        </w:rPr>
      </w:pPr>
      <w:r>
        <w:rPr>
          <w:rFonts w:hint="eastAsia" w:cs="Times New Roman"/>
          <w:b/>
          <w:bCs/>
          <w:kern w:val="2"/>
          <w:szCs w:val="22"/>
          <w:highlight w:val="none"/>
        </w:rPr>
        <w:t>七</w:t>
      </w:r>
      <w:r>
        <w:rPr>
          <w:rFonts w:cs="Times New Roman"/>
          <w:b/>
          <w:bCs/>
          <w:kern w:val="2"/>
          <w:szCs w:val="22"/>
          <w:highlight w:val="none"/>
        </w:rPr>
        <w:t>、</w:t>
      </w:r>
      <w:r>
        <w:rPr>
          <w:rFonts w:hint="eastAsia" w:cs="Times New Roman"/>
          <w:b/>
          <w:bCs/>
          <w:kern w:val="2"/>
          <w:szCs w:val="22"/>
          <w:highlight w:val="none"/>
        </w:rPr>
        <w:t>投标</w:t>
      </w:r>
      <w:r>
        <w:rPr>
          <w:rFonts w:cs="Times New Roman"/>
          <w:b/>
          <w:bCs/>
          <w:kern w:val="2"/>
          <w:szCs w:val="22"/>
          <w:highlight w:val="none"/>
        </w:rPr>
        <w:t>保证金：</w:t>
      </w:r>
      <w:r>
        <w:rPr>
          <w:rFonts w:hint="eastAsia" w:cs="Times New Roman"/>
          <w:b/>
          <w:bCs/>
          <w:kern w:val="2"/>
          <w:szCs w:val="22"/>
          <w:highlight w:val="none"/>
          <w:lang w:val="en-US" w:eastAsia="zh-CN"/>
        </w:rPr>
        <w:t>无</w:t>
      </w:r>
    </w:p>
    <w:p w14:paraId="4FF616AD">
      <w:pPr>
        <w:shd w:val="clear"/>
        <w:spacing w:line="360" w:lineRule="auto"/>
        <w:rPr>
          <w:rFonts w:hint="eastAsia"/>
          <w:b/>
          <w:bCs/>
          <w:highlight w:val="none"/>
        </w:rPr>
      </w:pPr>
      <w:r>
        <w:rPr>
          <w:rFonts w:hint="eastAsia"/>
          <w:b/>
          <w:bCs/>
          <w:highlight w:val="none"/>
        </w:rPr>
        <w:t>八、招标文件的获取方式</w:t>
      </w:r>
    </w:p>
    <w:p w14:paraId="78156DF6">
      <w:pPr>
        <w:shd w:val="clear"/>
        <w:spacing w:line="360" w:lineRule="auto"/>
        <w:ind w:firstLine="480" w:firstLineChars="200"/>
        <w:rPr>
          <w:rFonts w:hint="eastAsia"/>
          <w:highlight w:val="none"/>
          <w:lang w:eastAsia="zh-CN"/>
        </w:rPr>
      </w:pPr>
      <w:r>
        <w:rPr>
          <w:rFonts w:hint="eastAsia"/>
          <w:highlight w:val="none"/>
        </w:rPr>
        <w:t>凡有意参加本次招标的投标人，在公告期内登陆：济钢集团有限公司阳光购销平台</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，注册用户成功后，须修改初始密码，重新登录后报名，报名成功后即可下载招标文件</w:t>
      </w:r>
      <w:r>
        <w:rPr>
          <w:rFonts w:hint="eastAsia"/>
          <w:highlight w:val="none"/>
          <w:lang w:eastAsia="zh-CN"/>
        </w:rPr>
        <w:t>。</w:t>
      </w:r>
    </w:p>
    <w:p w14:paraId="3D723B22">
      <w:pPr>
        <w:widowControl/>
        <w:shd w:val="clear"/>
        <w:autoSpaceDE w:val="0"/>
        <w:autoSpaceDN w:val="0"/>
        <w:adjustRightInd w:val="0"/>
        <w:spacing w:line="360" w:lineRule="exact"/>
        <w:jc w:val="left"/>
        <w:rPr>
          <w:rFonts w:ascii="仿宋" w:hAnsi="仿宋" w:eastAsia="仿宋" w:cs="Arial Unicode MS"/>
          <w:kern w:val="0"/>
          <w:sz w:val="24"/>
          <w:szCs w:val="24"/>
          <w:highlight w:val="none"/>
          <w:lang w:val="zh-CN"/>
        </w:rPr>
      </w:pPr>
      <w:r>
        <w:rPr>
          <w:rFonts w:hint="eastAsia"/>
          <w:b/>
          <w:bCs/>
          <w:highlight w:val="none"/>
          <w:lang w:val="en-US" w:eastAsia="zh-CN"/>
        </w:rPr>
        <w:t>九、</w:t>
      </w:r>
      <w:r>
        <w:rPr>
          <w:rFonts w:hint="eastAsia"/>
          <w:b/>
          <w:bCs/>
          <w:highlight w:val="none"/>
          <w:lang w:val="zh-CN"/>
        </w:rPr>
        <w:t>投标文件的递交</w:t>
      </w:r>
    </w:p>
    <w:p w14:paraId="7ED41A0F">
      <w:pPr>
        <w:shd w:val="clear"/>
        <w:spacing w:line="360" w:lineRule="auto"/>
        <w:ind w:firstLine="480" w:firstLineChars="200"/>
        <w:rPr>
          <w:highlight w:val="none"/>
        </w:rPr>
      </w:pPr>
      <w:r>
        <w:rPr>
          <w:rFonts w:hint="eastAsia"/>
          <w:highlight w:val="none"/>
          <w:lang w:val="zh-CN"/>
        </w:rPr>
        <w:t>网上递交（上传）</w:t>
      </w:r>
      <w:r>
        <w:rPr>
          <w:rFonts w:hint="eastAsia"/>
          <w:highlight w:val="none"/>
          <w:lang w:val="en-US" w:eastAsia="zh-CN"/>
        </w:rPr>
        <w:t>谈判</w:t>
      </w:r>
      <w:r>
        <w:rPr>
          <w:rFonts w:hint="eastAsia"/>
          <w:highlight w:val="none"/>
          <w:lang w:val="zh-CN"/>
        </w:rPr>
        <w:t>文件，递交的截止时间（投标截止时间）为</w:t>
      </w:r>
      <w:r>
        <w:rPr>
          <w:rFonts w:hint="eastAsia" w:cs="Times New Roman"/>
          <w:kern w:val="2"/>
          <w:szCs w:val="22"/>
          <w:highlight w:val="none"/>
        </w:rPr>
        <w:t>202</w:t>
      </w:r>
      <w:r>
        <w:rPr>
          <w:rFonts w:hint="eastAsia" w:cs="Times New Roman"/>
          <w:kern w:val="2"/>
          <w:szCs w:val="22"/>
          <w:highlight w:val="none"/>
          <w:lang w:val="en-US" w:eastAsia="zh-CN"/>
        </w:rPr>
        <w:t>6</w:t>
      </w:r>
      <w:r>
        <w:rPr>
          <w:rFonts w:hint="eastAsia" w:cs="Times New Roman"/>
          <w:kern w:val="2"/>
          <w:szCs w:val="22"/>
          <w:highlight w:val="none"/>
        </w:rPr>
        <w:t>年</w:t>
      </w:r>
      <w:r>
        <w:rPr>
          <w:rFonts w:hint="eastAsia" w:cs="Times New Roman"/>
          <w:kern w:val="2"/>
          <w:szCs w:val="22"/>
          <w:highlight w:val="none"/>
          <w:lang w:val="en-US" w:eastAsia="zh-CN"/>
        </w:rPr>
        <w:t>1</w:t>
      </w:r>
      <w:r>
        <w:rPr>
          <w:rFonts w:hint="eastAsia" w:cs="Times New Roman"/>
          <w:kern w:val="2"/>
          <w:szCs w:val="22"/>
          <w:highlight w:val="none"/>
        </w:rPr>
        <w:t>月</w:t>
      </w:r>
      <w:r>
        <w:rPr>
          <w:rFonts w:hint="eastAsia" w:cs="Times New Roman"/>
          <w:kern w:val="2"/>
          <w:szCs w:val="22"/>
          <w:highlight w:val="none"/>
          <w:lang w:val="en-US" w:eastAsia="zh-CN"/>
        </w:rPr>
        <w:t>5</w:t>
      </w:r>
      <w:r>
        <w:rPr>
          <w:rFonts w:hint="eastAsia" w:cs="Times New Roman"/>
          <w:kern w:val="2"/>
          <w:szCs w:val="22"/>
          <w:highlight w:val="none"/>
        </w:rPr>
        <w:t>日上午9点</w:t>
      </w:r>
      <w:r>
        <w:rPr>
          <w:rFonts w:hint="eastAsia"/>
          <w:highlight w:val="none"/>
          <w:lang w:val="zh-CN"/>
        </w:rPr>
        <w:t>，逾期递交的为无效投标；</w:t>
      </w:r>
      <w:r>
        <w:rPr>
          <w:rFonts w:hint="eastAsia"/>
          <w:highlight w:val="none"/>
          <w:lang w:val="en-US" w:eastAsia="zh-CN"/>
        </w:rPr>
        <w:t>投标文件不到开标时间无法打开请投标单位放心上传</w:t>
      </w:r>
      <w:r>
        <w:rPr>
          <w:rFonts w:hint="eastAsia"/>
          <w:highlight w:val="none"/>
          <w:lang w:val="zh-CN"/>
        </w:rPr>
        <w:t>。</w:t>
      </w:r>
    </w:p>
    <w:p w14:paraId="4C59CA5F">
      <w:pPr>
        <w:shd w:val="clear"/>
        <w:spacing w:line="360" w:lineRule="auto"/>
        <w:rPr>
          <w:rFonts w:hint="eastAsia"/>
          <w:b/>
          <w:bCs/>
          <w:highlight w:val="none"/>
        </w:rPr>
      </w:pPr>
      <w:r>
        <w:rPr>
          <w:rFonts w:hint="eastAsia"/>
          <w:b/>
          <w:bCs/>
          <w:highlight w:val="none"/>
          <w:lang w:val="en-US" w:eastAsia="zh-CN"/>
        </w:rPr>
        <w:t>十</w:t>
      </w:r>
      <w:r>
        <w:rPr>
          <w:rFonts w:hint="eastAsia"/>
          <w:b/>
          <w:bCs/>
          <w:highlight w:val="none"/>
        </w:rPr>
        <w:t>、资格审查</w:t>
      </w:r>
    </w:p>
    <w:p w14:paraId="03B992A2">
      <w:pPr>
        <w:shd w:val="clear"/>
        <w:spacing w:line="360" w:lineRule="auto"/>
        <w:ind w:firstLine="480" w:firstLineChars="200"/>
        <w:rPr>
          <w:rFonts w:hint="eastAsia"/>
          <w:highlight w:val="none"/>
        </w:rPr>
      </w:pPr>
      <w:r>
        <w:rPr>
          <w:rFonts w:hint="eastAsia"/>
          <w:highlight w:val="none"/>
        </w:rPr>
        <w:t>资格后审，不接受联合体。</w:t>
      </w:r>
    </w:p>
    <w:p w14:paraId="6E402A64">
      <w:pPr>
        <w:shd w:val="clear"/>
        <w:spacing w:line="360" w:lineRule="auto"/>
        <w:rPr>
          <w:rFonts w:hint="eastAsia"/>
          <w:b/>
          <w:bCs/>
          <w:highlight w:val="none"/>
        </w:rPr>
      </w:pPr>
      <w:r>
        <w:rPr>
          <w:rFonts w:hint="eastAsia"/>
          <w:b/>
          <w:bCs/>
          <w:highlight w:val="none"/>
        </w:rPr>
        <w:t>十</w:t>
      </w:r>
      <w:r>
        <w:rPr>
          <w:rFonts w:hint="eastAsia"/>
          <w:b/>
          <w:bCs/>
          <w:highlight w:val="none"/>
          <w:lang w:val="en-US" w:eastAsia="zh-CN"/>
        </w:rPr>
        <w:t>一</w:t>
      </w:r>
      <w:r>
        <w:rPr>
          <w:rFonts w:hint="eastAsia"/>
          <w:b/>
          <w:bCs/>
          <w:highlight w:val="none"/>
        </w:rPr>
        <w:t>、招标人的名称、地址和联系人</w:t>
      </w:r>
    </w:p>
    <w:p w14:paraId="441C0B4F">
      <w:pPr>
        <w:widowControl w:val="0"/>
        <w:shd w:val="clear"/>
        <w:spacing w:line="360" w:lineRule="auto"/>
        <w:ind w:firstLine="480" w:firstLineChars="200"/>
        <w:rPr>
          <w:rFonts w:cs="Times New Roman"/>
          <w:kern w:val="2"/>
          <w:szCs w:val="22"/>
          <w:highlight w:val="none"/>
        </w:rPr>
      </w:pPr>
      <w:r>
        <w:rPr>
          <w:rFonts w:hint="eastAsia"/>
          <w:highlight w:val="none"/>
        </w:rPr>
        <w:t>1、招标人的名称：</w:t>
      </w:r>
      <w:r>
        <w:rPr>
          <w:rFonts w:hint="eastAsia" w:cs="Times New Roman"/>
          <w:kern w:val="2"/>
          <w:szCs w:val="22"/>
          <w:highlight w:val="none"/>
        </w:rPr>
        <w:t>山东济钢</w:t>
      </w:r>
      <w:r>
        <w:rPr>
          <w:rFonts w:cs="Times New Roman"/>
          <w:kern w:val="2"/>
          <w:szCs w:val="22"/>
          <w:highlight w:val="none"/>
        </w:rPr>
        <w:t>环保新材料有限公司</w:t>
      </w:r>
    </w:p>
    <w:p w14:paraId="641A8976">
      <w:pPr>
        <w:pStyle w:val="45"/>
        <w:shd w:val="clear"/>
        <w:spacing w:after="0" w:line="360" w:lineRule="auto"/>
        <w:ind w:left="0" w:leftChars="0" w:firstLine="480"/>
        <w:rPr>
          <w:highlight w:val="none"/>
        </w:rPr>
      </w:pPr>
      <w:r>
        <w:rPr>
          <w:rFonts w:hint="eastAsia"/>
          <w:highlight w:val="none"/>
        </w:rPr>
        <w:t>2、招标人的地址：山东省济南市章丘区官庄街道青野村东</w:t>
      </w:r>
    </w:p>
    <w:p w14:paraId="0F8E36F7">
      <w:pPr>
        <w:shd w:val="clear"/>
        <w:spacing w:line="360" w:lineRule="auto"/>
        <w:ind w:firstLine="480" w:firstLineChars="200"/>
        <w:rPr>
          <w:highlight w:val="none"/>
        </w:rPr>
      </w:pPr>
      <w:r>
        <w:rPr>
          <w:rFonts w:hint="eastAsia"/>
          <w:highlight w:val="none"/>
        </w:rPr>
        <w:t>3</w:t>
      </w:r>
      <w:r>
        <w:rPr>
          <w:highlight w:val="none"/>
        </w:rPr>
        <w:t>、</w:t>
      </w:r>
      <w:r>
        <w:rPr>
          <w:rFonts w:hint="eastAsia"/>
          <w:highlight w:val="none"/>
        </w:rPr>
        <w:t>招标</w:t>
      </w:r>
      <w:r>
        <w:rPr>
          <w:rFonts w:hint="eastAsia"/>
          <w:highlight w:val="none"/>
          <w:lang w:val="en-US" w:eastAsia="zh-CN"/>
        </w:rPr>
        <w:t>咨询</w:t>
      </w:r>
      <w:r>
        <w:rPr>
          <w:highlight w:val="none"/>
        </w:rPr>
        <w:t>人：</w:t>
      </w:r>
      <w:r>
        <w:rPr>
          <w:rFonts w:hint="eastAsia"/>
          <w:highlight w:val="none"/>
        </w:rPr>
        <w:t>史</w:t>
      </w:r>
      <w:r>
        <w:rPr>
          <w:rFonts w:hint="eastAsia"/>
          <w:highlight w:val="none"/>
          <w:lang w:val="en-US" w:eastAsia="zh-CN"/>
        </w:rPr>
        <w:t>女士</w:t>
      </w:r>
      <w:r>
        <w:rPr>
          <w:highlight w:val="none"/>
        </w:rPr>
        <w:t>，联系电话：18615514537；</w:t>
      </w:r>
    </w:p>
    <w:p w14:paraId="7CB798B2">
      <w:pPr>
        <w:widowControl w:val="0"/>
        <w:shd w:val="clear"/>
        <w:spacing w:line="360" w:lineRule="auto"/>
        <w:ind w:firstLine="480" w:firstLineChars="200"/>
        <w:rPr>
          <w:rFonts w:hint="default" w:eastAsia="宋体"/>
          <w:highlight w:val="none"/>
          <w:lang w:val="en-US" w:eastAsia="zh-CN"/>
        </w:rPr>
      </w:pPr>
      <w:r>
        <w:rPr>
          <w:rFonts w:hint="eastAsia"/>
          <w:highlight w:val="none"/>
        </w:rPr>
        <w:t>4</w:t>
      </w:r>
      <w:r>
        <w:rPr>
          <w:highlight w:val="none"/>
        </w:rPr>
        <w:t>、</w:t>
      </w:r>
      <w:r>
        <w:rPr>
          <w:rFonts w:hint="eastAsia"/>
          <w:highlight w:val="none"/>
        </w:rPr>
        <w:t>业务联系人：</w:t>
      </w:r>
      <w:r>
        <w:rPr>
          <w:rFonts w:hint="eastAsia"/>
          <w:highlight w:val="none"/>
          <w:lang w:val="en-US" w:eastAsia="zh-CN"/>
        </w:rPr>
        <w:t>何</w:t>
      </w:r>
      <w:r>
        <w:rPr>
          <w:rFonts w:hint="eastAsia"/>
          <w:highlight w:val="none"/>
        </w:rPr>
        <w:t>先生，联系电话：1</w:t>
      </w:r>
      <w:r>
        <w:rPr>
          <w:rFonts w:hint="eastAsia"/>
          <w:highlight w:val="none"/>
          <w:lang w:val="en-US" w:eastAsia="zh-CN"/>
        </w:rPr>
        <w:t>5905498807</w:t>
      </w:r>
    </w:p>
    <w:p w14:paraId="662DE555">
      <w:pPr>
        <w:widowControl w:val="0"/>
        <w:shd w:val="clear"/>
        <w:spacing w:line="360" w:lineRule="auto"/>
        <w:rPr>
          <w:rFonts w:cs="Times New Roman"/>
          <w:b/>
          <w:bCs/>
          <w:kern w:val="2"/>
          <w:szCs w:val="22"/>
          <w:highlight w:val="none"/>
        </w:rPr>
      </w:pPr>
      <w:r>
        <w:rPr>
          <w:rFonts w:hint="eastAsia" w:cs="Times New Roman"/>
          <w:b/>
          <w:bCs/>
          <w:kern w:val="2"/>
          <w:szCs w:val="22"/>
          <w:highlight w:val="none"/>
        </w:rPr>
        <w:t>十</w:t>
      </w:r>
      <w:r>
        <w:rPr>
          <w:rFonts w:hint="eastAsia" w:cs="Times New Roman"/>
          <w:b/>
          <w:bCs/>
          <w:kern w:val="2"/>
          <w:szCs w:val="22"/>
          <w:highlight w:val="none"/>
          <w:lang w:val="en-US" w:eastAsia="zh-CN"/>
        </w:rPr>
        <w:t>二</w:t>
      </w:r>
      <w:r>
        <w:rPr>
          <w:rFonts w:cs="Times New Roman"/>
          <w:b/>
          <w:bCs/>
          <w:kern w:val="2"/>
          <w:szCs w:val="22"/>
          <w:highlight w:val="none"/>
        </w:rPr>
        <w:t>、</w:t>
      </w:r>
      <w:r>
        <w:rPr>
          <w:rFonts w:hint="eastAsia" w:cs="Times New Roman"/>
          <w:b/>
          <w:bCs/>
          <w:kern w:val="2"/>
          <w:szCs w:val="22"/>
          <w:highlight w:val="none"/>
        </w:rPr>
        <w:t>安全要求</w:t>
      </w:r>
    </w:p>
    <w:p w14:paraId="2C716D05">
      <w:pPr>
        <w:widowControl w:val="0"/>
        <w:shd w:val="clear"/>
        <w:spacing w:line="360" w:lineRule="auto"/>
        <w:ind w:firstLine="480" w:firstLineChars="200"/>
        <w:rPr>
          <w:rFonts w:hint="eastAsia" w:cs="Times New Roman"/>
          <w:kern w:val="2"/>
          <w:szCs w:val="22"/>
          <w:highlight w:val="none"/>
        </w:rPr>
      </w:pPr>
      <w:r>
        <w:rPr>
          <w:rFonts w:hint="eastAsia" w:cs="Times New Roman"/>
          <w:kern w:val="2"/>
          <w:szCs w:val="22"/>
          <w:highlight w:val="none"/>
        </w:rPr>
        <w:t>1、需要</w:t>
      </w:r>
      <w:r>
        <w:rPr>
          <w:rFonts w:cs="Times New Roman"/>
          <w:kern w:val="2"/>
          <w:szCs w:val="22"/>
          <w:highlight w:val="none"/>
        </w:rPr>
        <w:t>现场</w:t>
      </w:r>
      <w:r>
        <w:rPr>
          <w:rFonts w:hint="eastAsia" w:cs="Times New Roman"/>
          <w:kern w:val="2"/>
          <w:szCs w:val="22"/>
          <w:highlight w:val="none"/>
        </w:rPr>
        <w:t>踏勘时，</w:t>
      </w:r>
      <w:r>
        <w:rPr>
          <w:rFonts w:cs="Times New Roman"/>
          <w:kern w:val="2"/>
          <w:szCs w:val="22"/>
          <w:highlight w:val="none"/>
        </w:rPr>
        <w:t>必须遵守安全管理规定，服从现场</w:t>
      </w:r>
      <w:r>
        <w:rPr>
          <w:rFonts w:hint="eastAsia" w:cs="Times New Roman"/>
          <w:kern w:val="2"/>
          <w:szCs w:val="22"/>
          <w:highlight w:val="none"/>
        </w:rPr>
        <w:t>人员</w:t>
      </w:r>
      <w:r>
        <w:rPr>
          <w:rFonts w:cs="Times New Roman"/>
          <w:kern w:val="2"/>
          <w:szCs w:val="22"/>
          <w:highlight w:val="none"/>
        </w:rPr>
        <w:t>指挥</w:t>
      </w:r>
      <w:r>
        <w:rPr>
          <w:rFonts w:hint="eastAsia" w:cs="Times New Roman"/>
          <w:kern w:val="2"/>
          <w:szCs w:val="22"/>
          <w:highlight w:val="none"/>
        </w:rPr>
        <w:t>。参加投标的</w:t>
      </w:r>
      <w:r>
        <w:rPr>
          <w:rFonts w:cs="Times New Roman"/>
          <w:kern w:val="2"/>
          <w:szCs w:val="22"/>
          <w:highlight w:val="none"/>
        </w:rPr>
        <w:t>人员在济钢集团有限公司的一切活动，必须遵守济钢集团有限公司的安全规定。</w:t>
      </w:r>
    </w:p>
    <w:p w14:paraId="6700BCB3">
      <w:pPr>
        <w:pStyle w:val="45"/>
        <w:shd w:val="clear"/>
        <w:ind w:left="0" w:leftChars="0" w:firstLine="0" w:firstLineChars="0"/>
        <w:rPr>
          <w:b/>
          <w:bCs/>
          <w:highlight w:val="none"/>
        </w:rPr>
      </w:pPr>
      <w:r>
        <w:rPr>
          <w:rFonts w:hint="eastAsia" w:ascii="宋体" w:hAnsi="宋体"/>
          <w:b/>
          <w:bCs/>
          <w:color w:val="000000"/>
          <w:highlight w:val="none"/>
        </w:rPr>
        <w:t>十</w:t>
      </w:r>
      <w:r>
        <w:rPr>
          <w:rFonts w:hint="eastAsia" w:ascii="宋体" w:hAnsi="宋体"/>
          <w:b/>
          <w:bCs/>
          <w:color w:val="000000"/>
          <w:highlight w:val="none"/>
          <w:lang w:val="en-US" w:eastAsia="zh-CN"/>
        </w:rPr>
        <w:t>三</w:t>
      </w:r>
      <w:r>
        <w:rPr>
          <w:rFonts w:hint="eastAsia" w:ascii="宋体" w:hAnsi="宋体"/>
          <w:b/>
          <w:bCs/>
          <w:color w:val="000000"/>
          <w:highlight w:val="none"/>
        </w:rPr>
        <w:t>、公告中的内容和要求以最终的招标文件为准。</w:t>
      </w:r>
    </w:p>
    <w:p w14:paraId="37407C38">
      <w:pPr>
        <w:widowControl w:val="0"/>
        <w:shd w:val="clear"/>
        <w:spacing w:line="360" w:lineRule="auto"/>
        <w:ind w:firstLine="4320" w:firstLineChars="1800"/>
        <w:rPr>
          <w:rFonts w:cs="Times New Roman"/>
          <w:kern w:val="2"/>
          <w:szCs w:val="22"/>
          <w:highlight w:val="none"/>
        </w:rPr>
      </w:pPr>
      <w:r>
        <w:rPr>
          <w:rFonts w:hint="eastAsia" w:cs="Times New Roman"/>
          <w:kern w:val="2"/>
          <w:szCs w:val="22"/>
          <w:highlight w:val="none"/>
        </w:rPr>
        <w:t>山东济钢</w:t>
      </w:r>
      <w:r>
        <w:rPr>
          <w:rFonts w:cs="Times New Roman"/>
          <w:kern w:val="2"/>
          <w:szCs w:val="22"/>
          <w:highlight w:val="none"/>
        </w:rPr>
        <w:t>环保新材料有限公司</w:t>
      </w:r>
    </w:p>
    <w:p w14:paraId="57ED6FC9">
      <w:pPr>
        <w:widowControl w:val="0"/>
        <w:shd w:val="clear"/>
        <w:spacing w:line="360" w:lineRule="auto"/>
        <w:ind w:firstLine="5040" w:firstLineChars="2100"/>
        <w:rPr>
          <w:rFonts w:cs="Times New Roman"/>
          <w:kern w:val="2"/>
          <w:szCs w:val="22"/>
          <w:highlight w:val="none"/>
        </w:rPr>
      </w:pPr>
      <w:r>
        <w:rPr>
          <w:rFonts w:cs="Times New Roman"/>
          <w:kern w:val="2"/>
          <w:szCs w:val="22"/>
          <w:highlight w:val="none"/>
        </w:rPr>
        <w:t>20</w:t>
      </w:r>
      <w:r>
        <w:rPr>
          <w:rFonts w:hint="eastAsia" w:cs="Times New Roman"/>
          <w:kern w:val="2"/>
          <w:szCs w:val="22"/>
          <w:highlight w:val="none"/>
        </w:rPr>
        <w:t>2</w:t>
      </w:r>
      <w:r>
        <w:rPr>
          <w:rFonts w:hint="eastAsia" w:cs="Times New Roman"/>
          <w:kern w:val="2"/>
          <w:szCs w:val="22"/>
          <w:highlight w:val="none"/>
          <w:lang w:val="en-US" w:eastAsia="zh-CN"/>
        </w:rPr>
        <w:t>5</w:t>
      </w:r>
      <w:r>
        <w:rPr>
          <w:rFonts w:cs="Times New Roman"/>
          <w:kern w:val="2"/>
          <w:szCs w:val="22"/>
          <w:highlight w:val="none"/>
        </w:rPr>
        <w:t>年</w:t>
      </w:r>
      <w:r>
        <w:rPr>
          <w:rFonts w:hint="eastAsia" w:cs="Times New Roman"/>
          <w:kern w:val="2"/>
          <w:szCs w:val="22"/>
          <w:highlight w:val="none"/>
          <w:lang w:val="en-US" w:eastAsia="zh-CN"/>
        </w:rPr>
        <w:t>12</w:t>
      </w:r>
      <w:r>
        <w:rPr>
          <w:rFonts w:cs="Times New Roman"/>
          <w:kern w:val="2"/>
          <w:szCs w:val="22"/>
          <w:highlight w:val="none"/>
        </w:rPr>
        <w:t>月</w:t>
      </w:r>
      <w:r>
        <w:rPr>
          <w:rFonts w:hint="eastAsia" w:cs="Times New Roman"/>
          <w:kern w:val="2"/>
          <w:szCs w:val="22"/>
          <w:highlight w:val="none"/>
          <w:lang w:val="en-US" w:eastAsia="zh-CN"/>
        </w:rPr>
        <w:t>25</w:t>
      </w:r>
      <w:r>
        <w:rPr>
          <w:rFonts w:cs="Times New Roman"/>
          <w:kern w:val="2"/>
          <w:szCs w:val="22"/>
          <w:highlight w:val="none"/>
        </w:rPr>
        <w:t>日</w:t>
      </w:r>
    </w:p>
    <w:p w14:paraId="567A21F1">
      <w:pPr>
        <w:pStyle w:val="56"/>
        <w:shd w:val="clear"/>
        <w:spacing w:before="156"/>
        <w:rPr>
          <w:b w:val="0"/>
          <w:bCs/>
          <w:sz w:val="36"/>
          <w:szCs w:val="36"/>
          <w:highlight w:val="none"/>
        </w:rPr>
      </w:pPr>
      <w:bookmarkStart w:id="18" w:name="_Toc508871671"/>
      <w:r>
        <w:rPr>
          <w:b w:val="0"/>
          <w:bCs/>
          <w:sz w:val="36"/>
          <w:szCs w:val="36"/>
          <w:highlight w:val="none"/>
        </w:rPr>
        <w:br w:type="page"/>
      </w:r>
      <w:bookmarkStart w:id="19" w:name="_Toc29274_WPSOffice_Level1"/>
      <w:bookmarkStart w:id="20" w:name="_Toc17877_WPSOffice_Level1"/>
      <w:r>
        <w:rPr>
          <w:rFonts w:hint="eastAsia"/>
          <w:b w:val="0"/>
          <w:bCs/>
          <w:sz w:val="36"/>
          <w:szCs w:val="36"/>
          <w:highlight w:val="none"/>
        </w:rPr>
        <w:t>第二章</w:t>
      </w:r>
      <w:r>
        <w:rPr>
          <w:b w:val="0"/>
          <w:bCs/>
          <w:sz w:val="36"/>
          <w:szCs w:val="36"/>
          <w:highlight w:val="none"/>
        </w:rPr>
        <w:t xml:space="preserve">  </w:t>
      </w:r>
      <w:r>
        <w:rPr>
          <w:rFonts w:hint="eastAsia"/>
          <w:b w:val="0"/>
          <w:bCs/>
          <w:sz w:val="36"/>
          <w:szCs w:val="36"/>
          <w:highlight w:val="none"/>
        </w:rPr>
        <w:t>招标须知</w:t>
      </w:r>
      <w:bookmarkEnd w:id="18"/>
      <w:bookmarkEnd w:id="19"/>
      <w:bookmarkEnd w:id="20"/>
    </w:p>
    <w:p w14:paraId="7B4C31C4">
      <w:pPr>
        <w:pStyle w:val="64"/>
        <w:shd w:val="clear"/>
        <w:rPr>
          <w:sz w:val="30"/>
          <w:szCs w:val="30"/>
          <w:highlight w:val="none"/>
        </w:rPr>
      </w:pPr>
      <w:bookmarkStart w:id="21" w:name="_Toc508871672"/>
      <w:r>
        <w:rPr>
          <w:rStyle w:val="96"/>
          <w:rFonts w:hint="eastAsia"/>
          <w:b w:val="0"/>
          <w:bCs w:val="0"/>
          <w:highlight w:val="none"/>
        </w:rPr>
        <w:t>须知前附表</w:t>
      </w:r>
      <w:bookmarkEnd w:id="21"/>
    </w:p>
    <w:tbl>
      <w:tblPr>
        <w:tblStyle w:val="4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152D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3B6A821B">
            <w:pPr>
              <w:shd w:val="clear"/>
              <w:spacing w:line="400" w:lineRule="exact"/>
              <w:jc w:val="center"/>
              <w:rPr>
                <w:b/>
                <w:highlight w:val="none"/>
              </w:rPr>
            </w:pPr>
            <w:r>
              <w:rPr>
                <w:rFonts w:hint="eastAsia"/>
                <w:b/>
                <w:highlight w:val="none"/>
              </w:rPr>
              <w:t>条款号</w:t>
            </w:r>
          </w:p>
        </w:tc>
        <w:tc>
          <w:tcPr>
            <w:tcW w:w="1660" w:type="dxa"/>
            <w:noWrap w:val="0"/>
            <w:vAlign w:val="center"/>
          </w:tcPr>
          <w:p w14:paraId="681F83F6">
            <w:pPr>
              <w:shd w:val="clear"/>
              <w:spacing w:line="400" w:lineRule="exact"/>
              <w:jc w:val="center"/>
              <w:rPr>
                <w:b/>
                <w:highlight w:val="none"/>
              </w:rPr>
            </w:pPr>
            <w:r>
              <w:rPr>
                <w:rFonts w:hint="eastAsia"/>
                <w:b/>
                <w:highlight w:val="none"/>
              </w:rPr>
              <w:t>条款名称</w:t>
            </w:r>
          </w:p>
        </w:tc>
        <w:tc>
          <w:tcPr>
            <w:tcW w:w="7151" w:type="dxa"/>
            <w:gridSpan w:val="2"/>
            <w:noWrap w:val="0"/>
            <w:vAlign w:val="center"/>
          </w:tcPr>
          <w:p w14:paraId="066D52F4">
            <w:pPr>
              <w:shd w:val="clear"/>
              <w:spacing w:line="340" w:lineRule="exact"/>
              <w:jc w:val="center"/>
              <w:rPr>
                <w:b/>
                <w:highlight w:val="none"/>
              </w:rPr>
            </w:pPr>
            <w:r>
              <w:rPr>
                <w:rFonts w:hint="eastAsia"/>
                <w:b/>
                <w:highlight w:val="none"/>
              </w:rPr>
              <w:t>编列内容</w:t>
            </w:r>
          </w:p>
        </w:tc>
      </w:tr>
      <w:tr w14:paraId="14AC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624A344">
            <w:pPr>
              <w:shd w:val="clear"/>
              <w:jc w:val="center"/>
              <w:rPr>
                <w:highlight w:val="none"/>
              </w:rPr>
            </w:pPr>
            <w:r>
              <w:rPr>
                <w:rFonts w:hint="eastAsia"/>
                <w:highlight w:val="none"/>
              </w:rPr>
              <w:t>1.1.1</w:t>
            </w:r>
          </w:p>
        </w:tc>
        <w:tc>
          <w:tcPr>
            <w:tcW w:w="1660" w:type="dxa"/>
            <w:noWrap w:val="0"/>
            <w:vAlign w:val="center"/>
          </w:tcPr>
          <w:p w14:paraId="79E01D81">
            <w:pPr>
              <w:shd w:val="clear"/>
              <w:jc w:val="center"/>
              <w:rPr>
                <w:highlight w:val="none"/>
              </w:rPr>
            </w:pPr>
            <w:r>
              <w:rPr>
                <w:rFonts w:hint="eastAsia"/>
                <w:highlight w:val="none"/>
              </w:rPr>
              <w:t>招标人</w:t>
            </w:r>
          </w:p>
        </w:tc>
        <w:tc>
          <w:tcPr>
            <w:tcW w:w="7151" w:type="dxa"/>
            <w:gridSpan w:val="2"/>
            <w:noWrap w:val="0"/>
            <w:vAlign w:val="center"/>
          </w:tcPr>
          <w:p w14:paraId="31A3C0D0">
            <w:pPr>
              <w:shd w:val="clear"/>
              <w:spacing w:line="340" w:lineRule="exact"/>
              <w:rPr>
                <w:highlight w:val="none"/>
              </w:rPr>
            </w:pPr>
            <w:r>
              <w:rPr>
                <w:rFonts w:hint="eastAsia"/>
                <w:highlight w:val="none"/>
              </w:rPr>
              <w:t>山东济钢环保新材料有限公司</w:t>
            </w:r>
          </w:p>
        </w:tc>
      </w:tr>
      <w:tr w14:paraId="1FE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F9879C">
            <w:pPr>
              <w:shd w:val="clear"/>
              <w:jc w:val="center"/>
              <w:rPr>
                <w:highlight w:val="none"/>
              </w:rPr>
            </w:pPr>
            <w:r>
              <w:rPr>
                <w:rFonts w:hint="eastAsia"/>
                <w:highlight w:val="none"/>
              </w:rPr>
              <w:t>1.1.2</w:t>
            </w:r>
          </w:p>
        </w:tc>
        <w:tc>
          <w:tcPr>
            <w:tcW w:w="1660" w:type="dxa"/>
            <w:noWrap w:val="0"/>
            <w:vAlign w:val="center"/>
          </w:tcPr>
          <w:p w14:paraId="6D3DECD4">
            <w:pPr>
              <w:shd w:val="clear"/>
              <w:jc w:val="center"/>
              <w:rPr>
                <w:highlight w:val="none"/>
              </w:rPr>
            </w:pPr>
            <w:r>
              <w:rPr>
                <w:rFonts w:hint="eastAsia"/>
                <w:highlight w:val="none"/>
              </w:rPr>
              <w:t>项目名称</w:t>
            </w:r>
          </w:p>
        </w:tc>
        <w:tc>
          <w:tcPr>
            <w:tcW w:w="7151" w:type="dxa"/>
            <w:gridSpan w:val="2"/>
            <w:noWrap w:val="0"/>
            <w:vAlign w:val="center"/>
          </w:tcPr>
          <w:p w14:paraId="3D900829">
            <w:pPr>
              <w:shd w:val="clear"/>
              <w:spacing w:line="340" w:lineRule="exact"/>
              <w:rPr>
                <w:rFonts w:hint="default" w:eastAsia="宋体"/>
                <w:highlight w:val="none"/>
                <w:lang w:val="en-US" w:eastAsia="zh-CN"/>
              </w:rPr>
            </w:pPr>
            <w:r>
              <w:rPr>
                <w:rFonts w:hint="eastAsia"/>
                <w:highlight w:val="none"/>
                <w:lang w:val="en-US" w:eastAsia="zh-CN"/>
              </w:rPr>
              <w:t>皮重计量自助打印改造项目</w:t>
            </w:r>
          </w:p>
        </w:tc>
      </w:tr>
      <w:tr w14:paraId="2698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958" w:type="dxa"/>
            <w:noWrap w:val="0"/>
            <w:vAlign w:val="center"/>
          </w:tcPr>
          <w:p w14:paraId="37D2E639">
            <w:pPr>
              <w:shd w:val="clear"/>
              <w:jc w:val="center"/>
              <w:rPr>
                <w:highlight w:val="none"/>
              </w:rPr>
            </w:pPr>
            <w:r>
              <w:rPr>
                <w:rFonts w:hint="eastAsia"/>
                <w:highlight w:val="none"/>
              </w:rPr>
              <w:t>1.1.3</w:t>
            </w:r>
          </w:p>
        </w:tc>
        <w:tc>
          <w:tcPr>
            <w:tcW w:w="1660" w:type="dxa"/>
            <w:noWrap w:val="0"/>
            <w:vAlign w:val="center"/>
          </w:tcPr>
          <w:p w14:paraId="275A56A4">
            <w:pPr>
              <w:shd w:val="clear"/>
              <w:spacing w:line="240" w:lineRule="atLeast"/>
              <w:jc w:val="center"/>
              <w:rPr>
                <w:highlight w:val="none"/>
              </w:rPr>
            </w:pPr>
            <w:r>
              <w:rPr>
                <w:rFonts w:hint="eastAsia"/>
                <w:highlight w:val="none"/>
              </w:rPr>
              <w:t>项目概况</w:t>
            </w:r>
          </w:p>
        </w:tc>
        <w:tc>
          <w:tcPr>
            <w:tcW w:w="7151" w:type="dxa"/>
            <w:gridSpan w:val="2"/>
            <w:noWrap w:val="0"/>
            <w:vAlign w:val="center"/>
          </w:tcPr>
          <w:p w14:paraId="750539FB">
            <w:pPr>
              <w:shd w:val="clear"/>
              <w:spacing w:line="340" w:lineRule="exact"/>
              <w:rPr>
                <w:rFonts w:hint="default" w:eastAsia="宋体"/>
                <w:highlight w:val="none"/>
                <w:lang w:val="en-US" w:eastAsia="zh-CN"/>
              </w:rPr>
            </w:pPr>
            <w:r>
              <w:rPr>
                <w:rFonts w:hint="eastAsia"/>
                <w:highlight w:val="none"/>
                <w:lang w:val="en-US" w:eastAsia="zh-CN"/>
              </w:rPr>
              <w:t>见第一章</w:t>
            </w:r>
          </w:p>
        </w:tc>
      </w:tr>
      <w:tr w14:paraId="2081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216A7D10">
            <w:pPr>
              <w:shd w:val="clear"/>
              <w:jc w:val="center"/>
              <w:rPr>
                <w:rFonts w:hint="eastAsia"/>
                <w:highlight w:val="none"/>
              </w:rPr>
            </w:pPr>
            <w:r>
              <w:rPr>
                <w:rFonts w:hint="eastAsia"/>
                <w:highlight w:val="none"/>
              </w:rPr>
              <w:t>1.1.4</w:t>
            </w:r>
          </w:p>
        </w:tc>
        <w:tc>
          <w:tcPr>
            <w:tcW w:w="1660" w:type="dxa"/>
            <w:noWrap w:val="0"/>
            <w:vAlign w:val="center"/>
          </w:tcPr>
          <w:p w14:paraId="669CCA4D">
            <w:pPr>
              <w:shd w:val="clear"/>
              <w:spacing w:line="240" w:lineRule="atLeast"/>
              <w:jc w:val="center"/>
              <w:rPr>
                <w:highlight w:val="none"/>
              </w:rPr>
            </w:pPr>
            <w:r>
              <w:rPr>
                <w:rFonts w:hint="eastAsia"/>
                <w:highlight w:val="none"/>
              </w:rPr>
              <w:t>项目地点</w:t>
            </w:r>
          </w:p>
        </w:tc>
        <w:tc>
          <w:tcPr>
            <w:tcW w:w="7151" w:type="dxa"/>
            <w:gridSpan w:val="2"/>
            <w:noWrap w:val="0"/>
            <w:vAlign w:val="center"/>
          </w:tcPr>
          <w:p w14:paraId="0431BD99">
            <w:pPr>
              <w:shd w:val="clear"/>
              <w:spacing w:line="340" w:lineRule="exact"/>
              <w:rPr>
                <w:highlight w:val="none"/>
              </w:rPr>
            </w:pPr>
            <w:r>
              <w:rPr>
                <w:rFonts w:hint="eastAsia"/>
                <w:highlight w:val="none"/>
              </w:rPr>
              <w:t>山东省济南市章丘区官庄街道青野村东</w:t>
            </w:r>
          </w:p>
        </w:tc>
      </w:tr>
      <w:tr w14:paraId="2553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9B7971C">
            <w:pPr>
              <w:shd w:val="clear"/>
              <w:jc w:val="center"/>
              <w:rPr>
                <w:highlight w:val="none"/>
              </w:rPr>
            </w:pPr>
            <w:r>
              <w:rPr>
                <w:rFonts w:hint="eastAsia"/>
                <w:highlight w:val="none"/>
              </w:rPr>
              <w:t>1.2.1</w:t>
            </w:r>
          </w:p>
        </w:tc>
        <w:tc>
          <w:tcPr>
            <w:tcW w:w="1660" w:type="dxa"/>
            <w:noWrap w:val="0"/>
            <w:vAlign w:val="center"/>
          </w:tcPr>
          <w:p w14:paraId="17E2A586">
            <w:pPr>
              <w:shd w:val="clear"/>
              <w:spacing w:line="240" w:lineRule="atLeast"/>
              <w:jc w:val="center"/>
              <w:rPr>
                <w:highlight w:val="none"/>
              </w:rPr>
            </w:pPr>
            <w:r>
              <w:rPr>
                <w:rFonts w:hint="eastAsia"/>
                <w:highlight w:val="none"/>
              </w:rPr>
              <w:t>资金来源</w:t>
            </w:r>
          </w:p>
        </w:tc>
        <w:tc>
          <w:tcPr>
            <w:tcW w:w="7151" w:type="dxa"/>
            <w:gridSpan w:val="2"/>
            <w:noWrap w:val="0"/>
            <w:vAlign w:val="center"/>
          </w:tcPr>
          <w:p w14:paraId="38D1191D">
            <w:pPr>
              <w:shd w:val="clear"/>
              <w:spacing w:line="340" w:lineRule="exact"/>
              <w:rPr>
                <w:highlight w:val="none"/>
              </w:rPr>
            </w:pPr>
            <w:r>
              <w:rPr>
                <w:rFonts w:hint="eastAsia"/>
                <w:highlight w:val="none"/>
              </w:rPr>
              <w:t>自有资金</w:t>
            </w:r>
          </w:p>
          <w:p w14:paraId="4A0F9941">
            <w:pPr>
              <w:shd w:val="clear"/>
              <w:spacing w:line="340" w:lineRule="exact"/>
              <w:rPr>
                <w:highlight w:val="none"/>
              </w:rPr>
            </w:pPr>
          </w:p>
        </w:tc>
      </w:tr>
      <w:tr w14:paraId="73A9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33E48D2">
            <w:pPr>
              <w:shd w:val="clear"/>
              <w:jc w:val="center"/>
              <w:rPr>
                <w:highlight w:val="none"/>
              </w:rPr>
            </w:pPr>
            <w:r>
              <w:rPr>
                <w:rFonts w:hint="eastAsia"/>
                <w:highlight w:val="none"/>
              </w:rPr>
              <w:t>1.2.2</w:t>
            </w:r>
          </w:p>
        </w:tc>
        <w:tc>
          <w:tcPr>
            <w:tcW w:w="1660" w:type="dxa"/>
            <w:noWrap w:val="0"/>
            <w:vAlign w:val="center"/>
          </w:tcPr>
          <w:p w14:paraId="018FCEFB">
            <w:pPr>
              <w:shd w:val="clear"/>
              <w:spacing w:line="240" w:lineRule="atLeast"/>
              <w:jc w:val="center"/>
              <w:rPr>
                <w:highlight w:val="none"/>
              </w:rPr>
            </w:pPr>
            <w:r>
              <w:rPr>
                <w:rFonts w:hint="eastAsia"/>
                <w:highlight w:val="none"/>
              </w:rPr>
              <w:t>招标方式</w:t>
            </w:r>
          </w:p>
        </w:tc>
        <w:tc>
          <w:tcPr>
            <w:tcW w:w="7151" w:type="dxa"/>
            <w:gridSpan w:val="2"/>
            <w:noWrap w:val="0"/>
            <w:vAlign w:val="center"/>
          </w:tcPr>
          <w:p w14:paraId="7DF465D0">
            <w:pPr>
              <w:shd w:val="clear"/>
              <w:spacing w:line="340" w:lineRule="exact"/>
              <w:rPr>
                <w:highlight w:val="none"/>
              </w:rPr>
            </w:pPr>
            <w:r>
              <w:rPr>
                <w:rFonts w:hint="eastAsia"/>
                <w:highlight w:val="none"/>
              </w:rPr>
              <w:t>公开招标，资格后审</w:t>
            </w:r>
          </w:p>
        </w:tc>
      </w:tr>
      <w:tr w14:paraId="6253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noWrap w:val="0"/>
            <w:vAlign w:val="center"/>
          </w:tcPr>
          <w:p w14:paraId="39B3A8E5">
            <w:pPr>
              <w:shd w:val="clear"/>
              <w:jc w:val="center"/>
              <w:rPr>
                <w:highlight w:val="none"/>
              </w:rPr>
            </w:pPr>
            <w:r>
              <w:rPr>
                <w:rFonts w:hint="eastAsia"/>
                <w:highlight w:val="none"/>
              </w:rPr>
              <w:t>1.3.1</w:t>
            </w:r>
          </w:p>
        </w:tc>
        <w:tc>
          <w:tcPr>
            <w:tcW w:w="1660" w:type="dxa"/>
            <w:noWrap w:val="0"/>
            <w:vAlign w:val="center"/>
          </w:tcPr>
          <w:p w14:paraId="358D2E95">
            <w:pPr>
              <w:shd w:val="clear"/>
              <w:spacing w:line="360" w:lineRule="exact"/>
              <w:jc w:val="center"/>
              <w:rPr>
                <w:highlight w:val="none"/>
              </w:rPr>
            </w:pPr>
            <w:r>
              <w:rPr>
                <w:rFonts w:hint="eastAsia"/>
                <w:highlight w:val="none"/>
              </w:rPr>
              <w:t>招标范围</w:t>
            </w:r>
          </w:p>
        </w:tc>
        <w:tc>
          <w:tcPr>
            <w:tcW w:w="7151" w:type="dxa"/>
            <w:gridSpan w:val="2"/>
            <w:noWrap w:val="0"/>
            <w:vAlign w:val="center"/>
          </w:tcPr>
          <w:p w14:paraId="7BEBD523">
            <w:pPr>
              <w:shd w:val="clear"/>
              <w:spacing w:line="360" w:lineRule="auto"/>
              <w:rPr>
                <w:rFonts w:hint="default" w:eastAsia="宋体"/>
                <w:highlight w:val="none"/>
                <w:lang w:val="en-US" w:eastAsia="zh-CN"/>
              </w:rPr>
            </w:pPr>
            <w:r>
              <w:rPr>
                <w:rFonts w:hint="eastAsia"/>
                <w:highlight w:val="none"/>
                <w:lang w:val="en-US" w:eastAsia="zh-CN"/>
              </w:rPr>
              <w:t>详见招标公告</w:t>
            </w:r>
          </w:p>
        </w:tc>
      </w:tr>
      <w:tr w14:paraId="1029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8" w:type="dxa"/>
            <w:noWrap w:val="0"/>
            <w:vAlign w:val="center"/>
          </w:tcPr>
          <w:p w14:paraId="018F205C">
            <w:pPr>
              <w:shd w:val="clear"/>
              <w:spacing w:line="240" w:lineRule="atLeast"/>
              <w:jc w:val="center"/>
              <w:rPr>
                <w:highlight w:val="none"/>
              </w:rPr>
            </w:pPr>
            <w:r>
              <w:rPr>
                <w:rFonts w:hint="eastAsia"/>
                <w:highlight w:val="none"/>
              </w:rPr>
              <w:t>1.3.3</w:t>
            </w:r>
          </w:p>
        </w:tc>
        <w:tc>
          <w:tcPr>
            <w:tcW w:w="1660" w:type="dxa"/>
            <w:noWrap w:val="0"/>
            <w:vAlign w:val="center"/>
          </w:tcPr>
          <w:p w14:paraId="5F7EBD40">
            <w:pPr>
              <w:shd w:val="clear"/>
              <w:spacing w:line="240" w:lineRule="atLeast"/>
              <w:jc w:val="center"/>
              <w:rPr>
                <w:highlight w:val="none"/>
              </w:rPr>
            </w:pPr>
            <w:r>
              <w:rPr>
                <w:rFonts w:hint="eastAsia"/>
                <w:highlight w:val="none"/>
              </w:rPr>
              <w:t>地点</w:t>
            </w:r>
          </w:p>
        </w:tc>
        <w:tc>
          <w:tcPr>
            <w:tcW w:w="7151" w:type="dxa"/>
            <w:gridSpan w:val="2"/>
            <w:noWrap w:val="0"/>
            <w:vAlign w:val="center"/>
          </w:tcPr>
          <w:p w14:paraId="1662891B">
            <w:pPr>
              <w:shd w:val="clear"/>
              <w:spacing w:line="340" w:lineRule="exact"/>
              <w:rPr>
                <w:b/>
                <w:highlight w:val="none"/>
              </w:rPr>
            </w:pPr>
            <w:r>
              <w:rPr>
                <w:rFonts w:hint="eastAsia"/>
                <w:highlight w:val="none"/>
              </w:rPr>
              <w:t>山东省济南市章丘区官庄街道青野村东</w:t>
            </w:r>
          </w:p>
        </w:tc>
      </w:tr>
      <w:tr w14:paraId="5F90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70AED93C">
            <w:pPr>
              <w:shd w:val="clear"/>
              <w:spacing w:line="240" w:lineRule="atLeast"/>
              <w:jc w:val="center"/>
              <w:rPr>
                <w:rFonts w:hint="eastAsia"/>
                <w:highlight w:val="none"/>
              </w:rPr>
            </w:pPr>
            <w:r>
              <w:rPr>
                <w:rFonts w:hint="eastAsia"/>
                <w:highlight w:val="none"/>
              </w:rPr>
              <w:t>1.3.4</w:t>
            </w:r>
          </w:p>
        </w:tc>
        <w:tc>
          <w:tcPr>
            <w:tcW w:w="1660" w:type="dxa"/>
            <w:noWrap w:val="0"/>
            <w:vAlign w:val="center"/>
          </w:tcPr>
          <w:p w14:paraId="2304127B">
            <w:pPr>
              <w:shd w:val="clear"/>
              <w:spacing w:line="240" w:lineRule="atLeast"/>
              <w:jc w:val="center"/>
              <w:rPr>
                <w:b/>
                <w:highlight w:val="none"/>
              </w:rPr>
            </w:pPr>
            <w:r>
              <w:rPr>
                <w:rFonts w:hint="eastAsia"/>
                <w:highlight w:val="none"/>
              </w:rPr>
              <w:t>质保期</w:t>
            </w:r>
          </w:p>
        </w:tc>
        <w:tc>
          <w:tcPr>
            <w:tcW w:w="7151" w:type="dxa"/>
            <w:gridSpan w:val="2"/>
            <w:noWrap w:val="0"/>
            <w:vAlign w:val="center"/>
          </w:tcPr>
          <w:p w14:paraId="5B2958A6">
            <w:pPr>
              <w:shd w:val="clear"/>
              <w:spacing w:line="340" w:lineRule="exact"/>
              <w:rPr>
                <w:rFonts w:hint="default" w:eastAsia="宋体"/>
                <w:b/>
                <w:highlight w:val="none"/>
                <w:lang w:val="en-US" w:eastAsia="zh-CN"/>
              </w:rPr>
            </w:pPr>
            <w:r>
              <w:rPr>
                <w:rFonts w:hint="eastAsia"/>
                <w:b/>
                <w:highlight w:val="none"/>
                <w:lang w:val="en-US" w:eastAsia="zh-CN"/>
              </w:rPr>
              <w:t>12个月</w:t>
            </w:r>
          </w:p>
        </w:tc>
      </w:tr>
      <w:tr w14:paraId="533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679807CC">
            <w:pPr>
              <w:shd w:val="clear"/>
              <w:jc w:val="center"/>
              <w:rPr>
                <w:highlight w:val="none"/>
              </w:rPr>
            </w:pPr>
            <w:r>
              <w:rPr>
                <w:rFonts w:hint="eastAsia"/>
                <w:highlight w:val="none"/>
              </w:rPr>
              <w:t>1.4.1</w:t>
            </w:r>
          </w:p>
        </w:tc>
        <w:tc>
          <w:tcPr>
            <w:tcW w:w="1660" w:type="dxa"/>
            <w:noWrap w:val="0"/>
            <w:vAlign w:val="center"/>
          </w:tcPr>
          <w:p w14:paraId="72E8BACE">
            <w:pPr>
              <w:shd w:val="clear"/>
              <w:spacing w:line="360" w:lineRule="exact"/>
              <w:jc w:val="center"/>
              <w:rPr>
                <w:highlight w:val="none"/>
              </w:rPr>
            </w:pPr>
            <w:r>
              <w:rPr>
                <w:rFonts w:hint="eastAsia"/>
                <w:highlight w:val="none"/>
              </w:rPr>
              <w:t xml:space="preserve">投标人的资格要求 </w:t>
            </w:r>
          </w:p>
        </w:tc>
        <w:tc>
          <w:tcPr>
            <w:tcW w:w="7151" w:type="dxa"/>
            <w:gridSpan w:val="2"/>
            <w:noWrap w:val="0"/>
            <w:vAlign w:val="center"/>
          </w:tcPr>
          <w:p w14:paraId="05CD51BE">
            <w:pPr>
              <w:shd w:val="clear"/>
              <w:spacing w:line="340" w:lineRule="exact"/>
              <w:rPr>
                <w:rFonts w:hint="default" w:eastAsia="宋体"/>
                <w:highlight w:val="none"/>
                <w:lang w:val="en-US" w:eastAsia="zh-CN"/>
              </w:rPr>
            </w:pPr>
            <w:r>
              <w:rPr>
                <w:rFonts w:hint="eastAsia"/>
                <w:highlight w:val="none"/>
                <w:lang w:val="en-US" w:eastAsia="zh-CN"/>
              </w:rPr>
              <w:t>详见招标公告</w:t>
            </w:r>
          </w:p>
        </w:tc>
      </w:tr>
      <w:tr w14:paraId="787D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2EB3ED">
            <w:pPr>
              <w:shd w:val="clear"/>
              <w:spacing w:line="240" w:lineRule="atLeast"/>
              <w:jc w:val="center"/>
              <w:rPr>
                <w:highlight w:val="none"/>
              </w:rPr>
            </w:pPr>
            <w:r>
              <w:rPr>
                <w:rFonts w:hint="eastAsia"/>
                <w:highlight w:val="none"/>
              </w:rPr>
              <w:t>1.4.2</w:t>
            </w:r>
          </w:p>
        </w:tc>
        <w:tc>
          <w:tcPr>
            <w:tcW w:w="1660" w:type="dxa"/>
            <w:noWrap w:val="0"/>
            <w:vAlign w:val="center"/>
          </w:tcPr>
          <w:p w14:paraId="779F6E9B">
            <w:pPr>
              <w:shd w:val="clear"/>
              <w:spacing w:line="240" w:lineRule="atLeast"/>
              <w:jc w:val="center"/>
              <w:rPr>
                <w:highlight w:val="none"/>
              </w:rPr>
            </w:pPr>
            <w:r>
              <w:rPr>
                <w:rFonts w:hint="eastAsia"/>
                <w:highlight w:val="none"/>
              </w:rPr>
              <w:t>是否接受联合体</w:t>
            </w:r>
          </w:p>
        </w:tc>
        <w:tc>
          <w:tcPr>
            <w:tcW w:w="7151" w:type="dxa"/>
            <w:gridSpan w:val="2"/>
            <w:noWrap w:val="0"/>
            <w:vAlign w:val="center"/>
          </w:tcPr>
          <w:p w14:paraId="65D01676">
            <w:pPr>
              <w:shd w:val="clear"/>
              <w:spacing w:line="340" w:lineRule="exact"/>
              <w:rPr>
                <w:highlight w:val="none"/>
              </w:rPr>
            </w:pPr>
            <w:r>
              <w:rPr>
                <w:rFonts w:hint="eastAsia"/>
                <w:highlight w:val="none"/>
              </w:rPr>
              <w:t>不接受</w:t>
            </w:r>
          </w:p>
        </w:tc>
      </w:tr>
      <w:tr w14:paraId="7BC0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95D4ED3">
            <w:pPr>
              <w:shd w:val="clear"/>
              <w:spacing w:line="240" w:lineRule="atLeast"/>
              <w:jc w:val="center"/>
              <w:rPr>
                <w:rFonts w:hint="eastAsia"/>
                <w:highlight w:val="none"/>
              </w:rPr>
            </w:pPr>
            <w:r>
              <w:rPr>
                <w:rFonts w:hint="eastAsia"/>
                <w:highlight w:val="none"/>
              </w:rPr>
              <w:t>1.9</w:t>
            </w:r>
          </w:p>
        </w:tc>
        <w:tc>
          <w:tcPr>
            <w:tcW w:w="1660" w:type="dxa"/>
            <w:noWrap w:val="0"/>
            <w:vAlign w:val="center"/>
          </w:tcPr>
          <w:p w14:paraId="03CA8715">
            <w:pPr>
              <w:shd w:val="clear"/>
              <w:spacing w:line="240" w:lineRule="atLeast"/>
              <w:jc w:val="center"/>
              <w:rPr>
                <w:highlight w:val="none"/>
              </w:rPr>
            </w:pPr>
            <w:r>
              <w:rPr>
                <w:rFonts w:hint="eastAsia"/>
                <w:highlight w:val="none"/>
              </w:rPr>
              <w:t>是否组织现场踏勘</w:t>
            </w:r>
          </w:p>
        </w:tc>
        <w:tc>
          <w:tcPr>
            <w:tcW w:w="7151" w:type="dxa"/>
            <w:gridSpan w:val="2"/>
            <w:noWrap w:val="0"/>
            <w:vAlign w:val="center"/>
          </w:tcPr>
          <w:p w14:paraId="0158FECC">
            <w:pPr>
              <w:shd w:val="clear"/>
              <w:spacing w:line="360" w:lineRule="auto"/>
              <w:rPr>
                <w:highlight w:val="none"/>
              </w:rPr>
            </w:pPr>
            <w:r>
              <w:rPr>
                <w:rFonts w:hint="eastAsia"/>
                <w:highlight w:val="none"/>
                <w:lang w:val="en-US" w:eastAsia="zh-CN"/>
              </w:rPr>
              <w:t>踏</w:t>
            </w:r>
            <w:r>
              <w:rPr>
                <w:rFonts w:hint="eastAsia"/>
                <w:highlight w:val="yellow"/>
                <w:lang w:val="en-US" w:eastAsia="zh-CN"/>
              </w:rPr>
              <w:t>勘现场时间：2025年12月31日上午8:30-11:30，下午14:00-16:30，不踏勘现场的视为无效投标（踏勘现场时自备安全帽）（请各投标单位</w:t>
            </w:r>
            <w:r>
              <w:rPr>
                <w:rFonts w:hint="eastAsia"/>
                <w:highlight w:val="none"/>
                <w:lang w:val="en-US" w:eastAsia="zh-CN"/>
              </w:rPr>
              <w:t>踏</w:t>
            </w:r>
            <w:r>
              <w:rPr>
                <w:rFonts w:hint="eastAsia"/>
                <w:highlight w:val="yellow"/>
                <w:lang w:val="en-US" w:eastAsia="zh-CN"/>
              </w:rPr>
              <w:t>勘现场前，联系业务联系人确定</w:t>
            </w:r>
            <w:r>
              <w:rPr>
                <w:rFonts w:hint="eastAsia"/>
                <w:highlight w:val="none"/>
                <w:lang w:val="en-US" w:eastAsia="zh-CN"/>
              </w:rPr>
              <w:t>踏</w:t>
            </w:r>
            <w:r>
              <w:rPr>
                <w:rFonts w:hint="eastAsia"/>
                <w:highlight w:val="yellow"/>
                <w:lang w:val="en-US" w:eastAsia="zh-CN"/>
              </w:rPr>
              <w:t>勘现场时间）</w:t>
            </w:r>
          </w:p>
        </w:tc>
      </w:tr>
      <w:tr w14:paraId="6BE7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0F77C19">
            <w:pPr>
              <w:shd w:val="clear"/>
              <w:spacing w:line="240" w:lineRule="atLeast"/>
              <w:jc w:val="center"/>
              <w:rPr>
                <w:highlight w:val="none"/>
              </w:rPr>
            </w:pPr>
            <w:r>
              <w:rPr>
                <w:rFonts w:hint="eastAsia"/>
                <w:highlight w:val="none"/>
              </w:rPr>
              <w:t>1.10</w:t>
            </w:r>
          </w:p>
        </w:tc>
        <w:tc>
          <w:tcPr>
            <w:tcW w:w="1660" w:type="dxa"/>
            <w:noWrap w:val="0"/>
            <w:vAlign w:val="center"/>
          </w:tcPr>
          <w:p w14:paraId="14CA56FE">
            <w:pPr>
              <w:shd w:val="clear"/>
              <w:spacing w:line="240" w:lineRule="atLeast"/>
              <w:jc w:val="center"/>
              <w:rPr>
                <w:highlight w:val="none"/>
              </w:rPr>
            </w:pPr>
            <w:r>
              <w:rPr>
                <w:rFonts w:hint="eastAsia"/>
                <w:highlight w:val="none"/>
              </w:rPr>
              <w:t>招标预备会</w:t>
            </w:r>
          </w:p>
        </w:tc>
        <w:tc>
          <w:tcPr>
            <w:tcW w:w="7151" w:type="dxa"/>
            <w:gridSpan w:val="2"/>
            <w:noWrap w:val="0"/>
            <w:vAlign w:val="center"/>
          </w:tcPr>
          <w:p w14:paraId="3F7AD15B">
            <w:pPr>
              <w:shd w:val="clear"/>
              <w:spacing w:line="340" w:lineRule="exact"/>
              <w:rPr>
                <w:highlight w:val="none"/>
              </w:rPr>
            </w:pPr>
            <w:r>
              <w:rPr>
                <w:rFonts w:hint="eastAsia"/>
                <w:highlight w:val="none"/>
              </w:rPr>
              <w:t>不召开</w:t>
            </w:r>
          </w:p>
        </w:tc>
      </w:tr>
      <w:tr w14:paraId="77E1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8" w:type="dxa"/>
            <w:noWrap w:val="0"/>
            <w:vAlign w:val="center"/>
          </w:tcPr>
          <w:p w14:paraId="0AB0A925">
            <w:pPr>
              <w:shd w:val="clear"/>
              <w:jc w:val="center"/>
              <w:rPr>
                <w:highlight w:val="none"/>
              </w:rPr>
            </w:pPr>
            <w:r>
              <w:rPr>
                <w:rFonts w:hint="eastAsia"/>
                <w:highlight w:val="none"/>
              </w:rPr>
              <w:t>2.1.1</w:t>
            </w:r>
          </w:p>
        </w:tc>
        <w:tc>
          <w:tcPr>
            <w:tcW w:w="1660" w:type="dxa"/>
            <w:noWrap w:val="0"/>
            <w:vAlign w:val="center"/>
          </w:tcPr>
          <w:p w14:paraId="33A7DB56">
            <w:pPr>
              <w:shd w:val="clear"/>
              <w:spacing w:line="360" w:lineRule="exact"/>
              <w:jc w:val="center"/>
              <w:rPr>
                <w:rFonts w:hint="eastAsia"/>
                <w:highlight w:val="none"/>
              </w:rPr>
            </w:pPr>
            <w:r>
              <w:rPr>
                <w:rFonts w:hint="eastAsia"/>
                <w:highlight w:val="none"/>
              </w:rPr>
              <w:t>构成招标文件的其他材料</w:t>
            </w:r>
          </w:p>
        </w:tc>
        <w:tc>
          <w:tcPr>
            <w:tcW w:w="7151" w:type="dxa"/>
            <w:gridSpan w:val="2"/>
            <w:noWrap w:val="0"/>
            <w:vAlign w:val="center"/>
          </w:tcPr>
          <w:p w14:paraId="4AF540F0">
            <w:pPr>
              <w:shd w:val="clear"/>
              <w:spacing w:line="340" w:lineRule="exact"/>
              <w:rPr>
                <w:rFonts w:hint="eastAsia"/>
                <w:highlight w:val="none"/>
              </w:rPr>
            </w:pPr>
            <w:r>
              <w:rPr>
                <w:rFonts w:hint="eastAsia"/>
                <w:highlight w:val="none"/>
              </w:rPr>
              <w:t>招标文件澄清、答疑、补充文件等</w:t>
            </w:r>
          </w:p>
        </w:tc>
      </w:tr>
      <w:tr w14:paraId="763D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4BADA5D2">
            <w:pPr>
              <w:shd w:val="clear"/>
              <w:jc w:val="center"/>
              <w:rPr>
                <w:rFonts w:hint="eastAsia"/>
                <w:highlight w:val="none"/>
              </w:rPr>
            </w:pPr>
            <w:r>
              <w:rPr>
                <w:rFonts w:hint="eastAsia"/>
                <w:highlight w:val="none"/>
              </w:rPr>
              <w:t>2.1.3</w:t>
            </w:r>
          </w:p>
        </w:tc>
        <w:tc>
          <w:tcPr>
            <w:tcW w:w="1660" w:type="dxa"/>
            <w:noWrap w:val="0"/>
            <w:vAlign w:val="center"/>
          </w:tcPr>
          <w:p w14:paraId="19EE579B">
            <w:pPr>
              <w:shd w:val="clear"/>
              <w:spacing w:line="360" w:lineRule="exact"/>
              <w:jc w:val="center"/>
              <w:rPr>
                <w:highlight w:val="none"/>
              </w:rPr>
            </w:pPr>
            <w:r>
              <w:rPr>
                <w:rFonts w:hint="eastAsia"/>
                <w:highlight w:val="none"/>
              </w:rPr>
              <w:t>招标文件的发布</w:t>
            </w:r>
          </w:p>
        </w:tc>
        <w:tc>
          <w:tcPr>
            <w:tcW w:w="7151" w:type="dxa"/>
            <w:gridSpan w:val="2"/>
            <w:noWrap w:val="0"/>
            <w:vAlign w:val="center"/>
          </w:tcPr>
          <w:p w14:paraId="3DFF3FF1">
            <w:pPr>
              <w:shd w:val="clear"/>
              <w:spacing w:line="340" w:lineRule="exact"/>
              <w:rPr>
                <w:highlight w:val="none"/>
              </w:rPr>
            </w:pPr>
            <w:r>
              <w:rPr>
                <w:rFonts w:hint="eastAsia"/>
                <w:highlight w:val="none"/>
              </w:rPr>
              <w:t>本招标文件在济钢集团有限公司阳光购销平台（网址：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上发布。除上述媒介以外的媒介转载或发布与本次招标相关信息的，招标人不承担任何责任并保留追究相关方责任的权利。</w:t>
            </w:r>
          </w:p>
        </w:tc>
      </w:tr>
      <w:tr w14:paraId="35E2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337D1C5">
            <w:pPr>
              <w:shd w:val="clear"/>
              <w:jc w:val="center"/>
              <w:rPr>
                <w:rFonts w:hint="eastAsia"/>
                <w:highlight w:val="none"/>
              </w:rPr>
            </w:pPr>
            <w:r>
              <w:rPr>
                <w:rFonts w:hint="eastAsia"/>
                <w:highlight w:val="none"/>
              </w:rPr>
              <w:t>2.2.2</w:t>
            </w:r>
          </w:p>
        </w:tc>
        <w:tc>
          <w:tcPr>
            <w:tcW w:w="1660" w:type="dxa"/>
            <w:noWrap w:val="0"/>
            <w:vAlign w:val="center"/>
          </w:tcPr>
          <w:p w14:paraId="7BF8B8CF">
            <w:pPr>
              <w:shd w:val="clear"/>
              <w:spacing w:line="442" w:lineRule="exact"/>
              <w:jc w:val="center"/>
              <w:rPr>
                <w:rFonts w:hint="eastAsia"/>
                <w:highlight w:val="none"/>
              </w:rPr>
            </w:pPr>
            <w:r>
              <w:rPr>
                <w:rFonts w:hint="eastAsia"/>
                <w:highlight w:val="none"/>
              </w:rPr>
              <w:t>招标</w:t>
            </w:r>
            <w:r>
              <w:rPr>
                <w:highlight w:val="none"/>
              </w:rPr>
              <w:t>文件的</w:t>
            </w:r>
            <w:r>
              <w:rPr>
                <w:rFonts w:hint="eastAsia"/>
                <w:highlight w:val="none"/>
              </w:rPr>
              <w:t>澄清</w:t>
            </w:r>
          </w:p>
        </w:tc>
        <w:tc>
          <w:tcPr>
            <w:tcW w:w="7151" w:type="dxa"/>
            <w:gridSpan w:val="2"/>
            <w:tcBorders>
              <w:bottom w:val="single" w:color="auto" w:sz="4" w:space="0"/>
            </w:tcBorders>
            <w:noWrap w:val="0"/>
            <w:vAlign w:val="center"/>
          </w:tcPr>
          <w:p w14:paraId="6AEEB0F1">
            <w:pPr>
              <w:shd w:val="clear"/>
              <w:spacing w:line="398" w:lineRule="exact"/>
              <w:rPr>
                <w:rFonts w:hint="eastAsia"/>
                <w:highlight w:val="none"/>
              </w:rPr>
            </w:pPr>
            <w:r>
              <w:rPr>
                <w:rFonts w:hint="eastAsia"/>
                <w:highlight w:val="none"/>
              </w:rPr>
              <w:t>招标</w:t>
            </w:r>
            <w:r>
              <w:rPr>
                <w:highlight w:val="none"/>
              </w:rPr>
              <w:t>文件</w:t>
            </w:r>
            <w:r>
              <w:rPr>
                <w:rFonts w:hint="eastAsia"/>
                <w:highlight w:val="none"/>
              </w:rPr>
              <w:t>澄清的</w:t>
            </w:r>
            <w:r>
              <w:rPr>
                <w:highlight w:val="none"/>
              </w:rPr>
              <w:t>截止时间</w:t>
            </w:r>
            <w:r>
              <w:rPr>
                <w:rFonts w:hint="eastAsia"/>
                <w:highlight w:val="none"/>
              </w:rPr>
              <w:t>为202</w:t>
            </w:r>
            <w:r>
              <w:rPr>
                <w:rFonts w:hint="eastAsia"/>
                <w:highlight w:val="none"/>
                <w:lang w:val="en-US" w:eastAsia="zh-CN"/>
              </w:rPr>
              <w:t>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31</w:t>
            </w:r>
            <w:r>
              <w:rPr>
                <w:rFonts w:hint="eastAsia"/>
                <w:highlight w:val="none"/>
              </w:rPr>
              <w:t>日，澄清文件在济钢集团有限公司阳光购销平台（网址：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上发布，并以书面形式通知所有招标文件收受人。</w:t>
            </w:r>
          </w:p>
        </w:tc>
      </w:tr>
      <w:tr w14:paraId="5A24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54B1AA9">
            <w:pPr>
              <w:shd w:val="clear"/>
              <w:jc w:val="center"/>
              <w:rPr>
                <w:rFonts w:hint="eastAsia"/>
                <w:highlight w:val="none"/>
              </w:rPr>
            </w:pPr>
            <w:r>
              <w:rPr>
                <w:rFonts w:hint="eastAsia"/>
                <w:highlight w:val="none"/>
              </w:rPr>
              <w:t>2.3</w:t>
            </w:r>
          </w:p>
        </w:tc>
        <w:tc>
          <w:tcPr>
            <w:tcW w:w="1660" w:type="dxa"/>
            <w:noWrap w:val="0"/>
            <w:vAlign w:val="center"/>
          </w:tcPr>
          <w:p w14:paraId="4AB1D1DE">
            <w:pPr>
              <w:shd w:val="clear"/>
              <w:spacing w:line="360" w:lineRule="exact"/>
              <w:jc w:val="center"/>
              <w:rPr>
                <w:rFonts w:hint="eastAsia"/>
                <w:highlight w:val="none"/>
              </w:rPr>
            </w:pPr>
            <w:r>
              <w:rPr>
                <w:rFonts w:hint="eastAsia"/>
                <w:highlight w:val="none"/>
              </w:rPr>
              <w:t>招标</w:t>
            </w:r>
            <w:r>
              <w:rPr>
                <w:highlight w:val="none"/>
              </w:rPr>
              <w:t>文件</w:t>
            </w:r>
            <w:r>
              <w:rPr>
                <w:rFonts w:hint="eastAsia"/>
                <w:highlight w:val="none"/>
              </w:rPr>
              <w:t>的</w:t>
            </w:r>
            <w:r>
              <w:rPr>
                <w:highlight w:val="none"/>
              </w:rPr>
              <w:t>修改</w:t>
            </w:r>
          </w:p>
        </w:tc>
        <w:tc>
          <w:tcPr>
            <w:tcW w:w="7151" w:type="dxa"/>
            <w:gridSpan w:val="2"/>
            <w:tcBorders>
              <w:bottom w:val="single" w:color="auto" w:sz="4" w:space="0"/>
            </w:tcBorders>
            <w:noWrap w:val="0"/>
            <w:vAlign w:val="center"/>
          </w:tcPr>
          <w:p w14:paraId="0C21657A">
            <w:pPr>
              <w:shd w:val="clear"/>
              <w:spacing w:line="398" w:lineRule="exact"/>
              <w:rPr>
                <w:rFonts w:hint="eastAsia"/>
                <w:highlight w:val="none"/>
              </w:rPr>
            </w:pPr>
            <w:r>
              <w:rPr>
                <w:rFonts w:hint="eastAsia"/>
                <w:highlight w:val="none"/>
              </w:rPr>
              <w:t>招标文件修改的截止时间为202</w:t>
            </w:r>
            <w:r>
              <w:rPr>
                <w:rFonts w:hint="eastAsia"/>
                <w:highlight w:val="none"/>
                <w:lang w:val="en-US" w:eastAsia="zh-CN"/>
              </w:rPr>
              <w:t>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31</w:t>
            </w:r>
            <w:r>
              <w:rPr>
                <w:rFonts w:hint="eastAsia"/>
                <w:highlight w:val="none"/>
              </w:rPr>
              <w:t>日，修改文件在济钢集团有限公司阳光购销平台（网址：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上发布，并以书面形式通知所有招标文件收受人。</w:t>
            </w:r>
          </w:p>
        </w:tc>
      </w:tr>
      <w:tr w14:paraId="4B2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F33E4E3">
            <w:pPr>
              <w:shd w:val="clear"/>
              <w:jc w:val="center"/>
              <w:rPr>
                <w:highlight w:val="none"/>
              </w:rPr>
            </w:pPr>
            <w:r>
              <w:rPr>
                <w:rFonts w:hint="eastAsia"/>
                <w:highlight w:val="none"/>
              </w:rPr>
              <w:t>3.1.1</w:t>
            </w:r>
          </w:p>
        </w:tc>
        <w:tc>
          <w:tcPr>
            <w:tcW w:w="1660" w:type="dxa"/>
            <w:noWrap w:val="0"/>
            <w:vAlign w:val="center"/>
          </w:tcPr>
          <w:p w14:paraId="4B9AA588">
            <w:pPr>
              <w:shd w:val="clear"/>
              <w:spacing w:line="360" w:lineRule="exact"/>
              <w:jc w:val="center"/>
              <w:rPr>
                <w:highlight w:val="none"/>
              </w:rPr>
            </w:pPr>
            <w:r>
              <w:rPr>
                <w:rFonts w:hint="eastAsia"/>
                <w:highlight w:val="none"/>
              </w:rPr>
              <w:t>投标文件内容</w:t>
            </w:r>
          </w:p>
        </w:tc>
        <w:tc>
          <w:tcPr>
            <w:tcW w:w="7151" w:type="dxa"/>
            <w:gridSpan w:val="2"/>
            <w:tcBorders>
              <w:bottom w:val="single" w:color="auto" w:sz="4" w:space="0"/>
            </w:tcBorders>
            <w:noWrap w:val="0"/>
            <w:vAlign w:val="center"/>
          </w:tcPr>
          <w:p w14:paraId="58BB24EE">
            <w:pPr>
              <w:shd w:val="clear"/>
              <w:spacing w:line="340" w:lineRule="exact"/>
              <w:rPr>
                <w:highlight w:val="none"/>
              </w:rPr>
            </w:pPr>
            <w:r>
              <w:rPr>
                <w:rFonts w:hint="eastAsia"/>
                <w:highlight w:val="none"/>
              </w:rPr>
              <w:t>招标文件商务、技术部分内容</w:t>
            </w:r>
          </w:p>
        </w:tc>
      </w:tr>
      <w:tr w14:paraId="4931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3196C54D">
            <w:pPr>
              <w:shd w:val="clear"/>
              <w:jc w:val="center"/>
              <w:rPr>
                <w:highlight w:val="none"/>
              </w:rPr>
            </w:pPr>
            <w:r>
              <w:rPr>
                <w:rFonts w:hint="eastAsia"/>
                <w:highlight w:val="none"/>
              </w:rPr>
              <w:t>3.2.1</w:t>
            </w:r>
          </w:p>
        </w:tc>
        <w:tc>
          <w:tcPr>
            <w:tcW w:w="1660" w:type="dxa"/>
            <w:shd w:val="clear" w:color="auto" w:fill="auto"/>
            <w:noWrap w:val="0"/>
            <w:vAlign w:val="center"/>
          </w:tcPr>
          <w:p w14:paraId="3AF9DF5D">
            <w:pPr>
              <w:shd w:val="clear"/>
              <w:spacing w:line="360" w:lineRule="exact"/>
              <w:jc w:val="center"/>
              <w:rPr>
                <w:highlight w:val="none"/>
              </w:rPr>
            </w:pPr>
            <w:r>
              <w:rPr>
                <w:rFonts w:hint="eastAsia"/>
                <w:highlight w:val="none"/>
              </w:rPr>
              <w:t>投标报价</w:t>
            </w:r>
          </w:p>
        </w:tc>
        <w:tc>
          <w:tcPr>
            <w:tcW w:w="7151" w:type="dxa"/>
            <w:gridSpan w:val="2"/>
            <w:shd w:val="clear" w:color="auto" w:fill="FFFFFF"/>
            <w:noWrap w:val="0"/>
            <w:vAlign w:val="center"/>
          </w:tcPr>
          <w:p w14:paraId="0A0B1A6C">
            <w:pPr>
              <w:shd w:val="clear"/>
              <w:spacing w:line="340" w:lineRule="exact"/>
              <w:rPr>
                <w:highlight w:val="none"/>
              </w:rPr>
            </w:pPr>
            <w:r>
              <w:rPr>
                <w:rFonts w:hint="eastAsia"/>
                <w:highlight w:val="none"/>
              </w:rPr>
              <w:t>1.报价方式：</w:t>
            </w:r>
            <w:r>
              <w:rPr>
                <w:rFonts w:hint="eastAsia"/>
                <w:highlight w:val="none"/>
                <w:lang w:val="en-US" w:eastAsia="zh-CN"/>
              </w:rPr>
              <w:t>分项报价、</w:t>
            </w:r>
            <w:r>
              <w:rPr>
                <w:rFonts w:hint="eastAsia"/>
                <w:highlight w:val="none"/>
              </w:rPr>
              <w:t xml:space="preserve">投标总价。 </w:t>
            </w:r>
          </w:p>
          <w:p w14:paraId="49255553">
            <w:pPr>
              <w:shd w:val="clear"/>
              <w:spacing w:line="340" w:lineRule="exact"/>
              <w:rPr>
                <w:highlight w:val="none"/>
              </w:rPr>
            </w:pPr>
            <w:r>
              <w:rPr>
                <w:rFonts w:hint="eastAsia"/>
                <w:highlight w:val="none"/>
              </w:rPr>
              <w:t>2.报价币种：人民币。</w:t>
            </w:r>
          </w:p>
          <w:p w14:paraId="1A620827">
            <w:pPr>
              <w:shd w:val="clear"/>
              <w:spacing w:line="340" w:lineRule="exact"/>
              <w:rPr>
                <w:rFonts w:hint="eastAsia" w:eastAsia="宋体"/>
                <w:highlight w:val="none"/>
                <w:lang w:eastAsia="zh-CN"/>
              </w:rPr>
            </w:pPr>
            <w:r>
              <w:rPr>
                <w:rFonts w:hint="eastAsia"/>
                <w:highlight w:val="none"/>
              </w:rPr>
              <w:t>3.报价为</w:t>
            </w:r>
            <w:r>
              <w:rPr>
                <w:rFonts w:hint="eastAsia"/>
                <w:highlight w:val="none"/>
                <w:lang w:val="en-US" w:eastAsia="zh-CN"/>
              </w:rPr>
              <w:t>含税</w:t>
            </w:r>
            <w:r>
              <w:rPr>
                <w:rFonts w:hint="eastAsia"/>
                <w:highlight w:val="none"/>
              </w:rPr>
              <w:t>价格</w:t>
            </w:r>
            <w:r>
              <w:rPr>
                <w:rFonts w:hint="eastAsia"/>
                <w:highlight w:val="none"/>
                <w:lang w:eastAsia="zh-CN"/>
              </w:rPr>
              <w:t>。</w:t>
            </w:r>
          </w:p>
        </w:tc>
      </w:tr>
      <w:tr w14:paraId="336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D6FEAAA">
            <w:pPr>
              <w:shd w:val="clear"/>
              <w:jc w:val="center"/>
              <w:rPr>
                <w:highlight w:val="none"/>
              </w:rPr>
            </w:pPr>
            <w:r>
              <w:rPr>
                <w:rFonts w:hint="eastAsia"/>
                <w:highlight w:val="none"/>
              </w:rPr>
              <w:t>3.2.2</w:t>
            </w:r>
          </w:p>
        </w:tc>
        <w:tc>
          <w:tcPr>
            <w:tcW w:w="1660" w:type="dxa"/>
            <w:noWrap w:val="0"/>
            <w:vAlign w:val="center"/>
          </w:tcPr>
          <w:p w14:paraId="1C001F0C">
            <w:pPr>
              <w:shd w:val="clear"/>
              <w:spacing w:line="360" w:lineRule="exact"/>
              <w:jc w:val="center"/>
              <w:rPr>
                <w:rFonts w:hint="eastAsia"/>
                <w:highlight w:val="none"/>
              </w:rPr>
            </w:pPr>
            <w:r>
              <w:rPr>
                <w:rFonts w:hint="eastAsia"/>
                <w:highlight w:val="none"/>
              </w:rPr>
              <w:t>投标报价修改</w:t>
            </w:r>
          </w:p>
        </w:tc>
        <w:tc>
          <w:tcPr>
            <w:tcW w:w="7151" w:type="dxa"/>
            <w:gridSpan w:val="2"/>
            <w:noWrap w:val="0"/>
            <w:vAlign w:val="center"/>
          </w:tcPr>
          <w:p w14:paraId="5F0746CE">
            <w:pPr>
              <w:shd w:val="clear"/>
              <w:spacing w:line="340" w:lineRule="exact"/>
              <w:rPr>
                <w:rFonts w:hint="eastAsia"/>
                <w:highlight w:val="none"/>
              </w:rPr>
            </w:pPr>
            <w:r>
              <w:rPr>
                <w:rFonts w:hint="eastAsia"/>
                <w:highlight w:val="none"/>
              </w:rPr>
              <w:t>详见招标须知正文3.2.2节内容</w:t>
            </w:r>
          </w:p>
        </w:tc>
      </w:tr>
      <w:tr w14:paraId="5E9E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B281B59">
            <w:pPr>
              <w:shd w:val="clear"/>
              <w:jc w:val="center"/>
              <w:rPr>
                <w:highlight w:val="none"/>
              </w:rPr>
            </w:pPr>
            <w:r>
              <w:rPr>
                <w:rFonts w:hint="eastAsia"/>
                <w:highlight w:val="none"/>
              </w:rPr>
              <w:t>3.3.1</w:t>
            </w:r>
          </w:p>
        </w:tc>
        <w:tc>
          <w:tcPr>
            <w:tcW w:w="1660" w:type="dxa"/>
            <w:noWrap w:val="0"/>
            <w:vAlign w:val="center"/>
          </w:tcPr>
          <w:p w14:paraId="23C39393">
            <w:pPr>
              <w:shd w:val="clear"/>
              <w:spacing w:line="360" w:lineRule="exact"/>
              <w:jc w:val="center"/>
              <w:rPr>
                <w:highlight w:val="none"/>
              </w:rPr>
            </w:pPr>
            <w:r>
              <w:rPr>
                <w:rFonts w:hint="eastAsia"/>
                <w:highlight w:val="none"/>
              </w:rPr>
              <w:t>招标有效期</w:t>
            </w:r>
          </w:p>
        </w:tc>
        <w:tc>
          <w:tcPr>
            <w:tcW w:w="7151" w:type="dxa"/>
            <w:gridSpan w:val="2"/>
            <w:noWrap w:val="0"/>
            <w:vAlign w:val="center"/>
          </w:tcPr>
          <w:p w14:paraId="459FF37E">
            <w:pPr>
              <w:shd w:val="clear"/>
              <w:spacing w:line="340" w:lineRule="exact"/>
              <w:rPr>
                <w:highlight w:val="none"/>
              </w:rPr>
            </w:pPr>
            <w:r>
              <w:rPr>
                <w:rFonts w:hint="eastAsia"/>
                <w:highlight w:val="none"/>
              </w:rPr>
              <w:t>90日历天（自</w:t>
            </w:r>
            <w:r>
              <w:rPr>
                <w:highlight w:val="none"/>
              </w:rPr>
              <w:t>递交</w:t>
            </w:r>
            <w:r>
              <w:rPr>
                <w:rFonts w:hint="eastAsia"/>
                <w:highlight w:val="none"/>
              </w:rPr>
              <w:t>投标</w:t>
            </w:r>
            <w:r>
              <w:rPr>
                <w:highlight w:val="none"/>
              </w:rPr>
              <w:t>文件截止</w:t>
            </w:r>
            <w:r>
              <w:rPr>
                <w:rFonts w:hint="eastAsia"/>
                <w:highlight w:val="none"/>
              </w:rPr>
              <w:t>之日起）</w:t>
            </w:r>
          </w:p>
        </w:tc>
      </w:tr>
      <w:tr w14:paraId="0455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07B02200">
            <w:pPr>
              <w:shd w:val="clear"/>
              <w:jc w:val="center"/>
              <w:rPr>
                <w:color w:val="000000"/>
                <w:highlight w:val="none"/>
              </w:rPr>
            </w:pPr>
            <w:r>
              <w:rPr>
                <w:rFonts w:hint="eastAsia"/>
                <w:color w:val="000000"/>
                <w:highlight w:val="none"/>
              </w:rPr>
              <w:t>3.4</w:t>
            </w:r>
          </w:p>
        </w:tc>
        <w:tc>
          <w:tcPr>
            <w:tcW w:w="1660" w:type="dxa"/>
            <w:noWrap w:val="0"/>
            <w:vAlign w:val="center"/>
          </w:tcPr>
          <w:p w14:paraId="6DE43A8A">
            <w:pPr>
              <w:shd w:val="clear"/>
              <w:spacing w:line="360" w:lineRule="exact"/>
              <w:jc w:val="center"/>
              <w:rPr>
                <w:color w:val="000000"/>
                <w:highlight w:val="none"/>
              </w:rPr>
            </w:pPr>
            <w:r>
              <w:rPr>
                <w:rFonts w:hint="eastAsia"/>
                <w:color w:val="000000"/>
                <w:highlight w:val="none"/>
              </w:rPr>
              <w:t>投标保证金</w:t>
            </w:r>
          </w:p>
        </w:tc>
        <w:tc>
          <w:tcPr>
            <w:tcW w:w="7151" w:type="dxa"/>
            <w:gridSpan w:val="2"/>
            <w:noWrap w:val="0"/>
            <w:vAlign w:val="center"/>
          </w:tcPr>
          <w:p w14:paraId="288896CA">
            <w:pPr>
              <w:shd w:val="clear"/>
              <w:spacing w:line="340" w:lineRule="exact"/>
              <w:rPr>
                <w:rFonts w:hint="default" w:eastAsia="宋体"/>
                <w:highlight w:val="none"/>
                <w:lang w:val="en-US" w:eastAsia="zh-CN"/>
              </w:rPr>
            </w:pPr>
            <w:r>
              <w:rPr>
                <w:rFonts w:hint="eastAsia"/>
                <w:highlight w:val="none"/>
                <w:lang w:val="en-US" w:eastAsia="zh-CN"/>
              </w:rPr>
              <w:t>无</w:t>
            </w:r>
          </w:p>
        </w:tc>
      </w:tr>
      <w:tr w14:paraId="7A0B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45D2886">
            <w:pPr>
              <w:shd w:val="clear"/>
              <w:jc w:val="center"/>
              <w:rPr>
                <w:highlight w:val="none"/>
              </w:rPr>
            </w:pPr>
            <w:r>
              <w:rPr>
                <w:rFonts w:hint="eastAsia"/>
                <w:highlight w:val="none"/>
              </w:rPr>
              <w:t>3.5.1</w:t>
            </w:r>
          </w:p>
        </w:tc>
        <w:tc>
          <w:tcPr>
            <w:tcW w:w="1660" w:type="dxa"/>
            <w:noWrap w:val="0"/>
            <w:vAlign w:val="center"/>
          </w:tcPr>
          <w:p w14:paraId="6089115C">
            <w:pPr>
              <w:shd w:val="clear"/>
              <w:spacing w:line="360" w:lineRule="exact"/>
              <w:ind w:left="-120" w:leftChars="-50" w:right="-120" w:rightChars="-50"/>
              <w:jc w:val="center"/>
              <w:rPr>
                <w:highlight w:val="none"/>
              </w:rPr>
            </w:pPr>
            <w:r>
              <w:rPr>
                <w:rFonts w:hint="eastAsia"/>
                <w:highlight w:val="none"/>
              </w:rPr>
              <w:t>资格审查</w:t>
            </w:r>
          </w:p>
        </w:tc>
        <w:tc>
          <w:tcPr>
            <w:tcW w:w="7151" w:type="dxa"/>
            <w:gridSpan w:val="2"/>
            <w:noWrap w:val="0"/>
            <w:vAlign w:val="center"/>
          </w:tcPr>
          <w:p w14:paraId="6CD49ADD">
            <w:pPr>
              <w:shd w:val="clear"/>
              <w:spacing w:line="340" w:lineRule="exact"/>
              <w:jc w:val="left"/>
              <w:rPr>
                <w:highlight w:val="none"/>
              </w:rPr>
            </w:pPr>
            <w:r>
              <w:rPr>
                <w:highlight w:val="none"/>
              </w:rPr>
              <w:t>1、</w:t>
            </w:r>
            <w:r>
              <w:rPr>
                <w:rFonts w:hint="eastAsia"/>
                <w:highlight w:val="none"/>
                <w:lang w:val="en-US" w:eastAsia="zh-CN"/>
              </w:rPr>
              <w:t>评标委员会对投标人的资格审查文件（电子版）进行评审。评审合格的进入下一阶段评标</w:t>
            </w:r>
            <w:r>
              <w:rPr>
                <w:highlight w:val="none"/>
              </w:rPr>
              <w:t>；</w:t>
            </w:r>
            <w:r>
              <w:rPr>
                <w:rFonts w:hint="eastAsia"/>
                <w:highlight w:val="none"/>
              </w:rPr>
              <w:t>评标</w:t>
            </w:r>
            <w:r>
              <w:rPr>
                <w:highlight w:val="none"/>
              </w:rPr>
              <w:t>不合格的</w:t>
            </w:r>
            <w:r>
              <w:rPr>
                <w:rFonts w:hint="eastAsia"/>
                <w:highlight w:val="none"/>
              </w:rPr>
              <w:t>取消其招标资格</w:t>
            </w:r>
            <w:r>
              <w:rPr>
                <w:highlight w:val="none"/>
              </w:rPr>
              <w:t>，</w:t>
            </w:r>
            <w:r>
              <w:rPr>
                <w:rFonts w:hint="eastAsia"/>
                <w:highlight w:val="none"/>
              </w:rPr>
              <w:t>购买招标文件的费用</w:t>
            </w:r>
            <w:r>
              <w:rPr>
                <w:highlight w:val="none"/>
              </w:rPr>
              <w:t>不退。</w:t>
            </w:r>
          </w:p>
          <w:p w14:paraId="6447E50A">
            <w:pPr>
              <w:shd w:val="clear"/>
              <w:spacing w:line="340" w:lineRule="exact"/>
              <w:ind w:left="-120" w:leftChars="-50" w:right="-120" w:rightChars="-50"/>
              <w:jc w:val="left"/>
              <w:rPr>
                <w:highlight w:val="none"/>
              </w:rPr>
            </w:pPr>
            <w:r>
              <w:rPr>
                <w:highlight w:val="none"/>
              </w:rPr>
              <w:t>2、</w:t>
            </w:r>
            <w:r>
              <w:rPr>
                <w:rFonts w:hint="eastAsia"/>
                <w:highlight w:val="none"/>
                <w:lang w:val="en-US" w:eastAsia="zh-CN"/>
              </w:rPr>
              <w:t>制作资格审查文件（电子版）后，在</w:t>
            </w:r>
            <w:r>
              <w:rPr>
                <w:rFonts w:hint="eastAsia" w:cs="Times New Roman"/>
                <w:kern w:val="2"/>
                <w:szCs w:val="22"/>
                <w:highlight w:val="none"/>
              </w:rPr>
              <w:t>202</w:t>
            </w:r>
            <w:r>
              <w:rPr>
                <w:rFonts w:hint="eastAsia" w:cs="Times New Roman"/>
                <w:kern w:val="2"/>
                <w:szCs w:val="22"/>
                <w:highlight w:val="none"/>
                <w:lang w:val="en-US" w:eastAsia="zh-CN"/>
              </w:rPr>
              <w:t>6</w:t>
            </w:r>
            <w:r>
              <w:rPr>
                <w:rFonts w:hint="eastAsia" w:cs="Times New Roman"/>
                <w:kern w:val="2"/>
                <w:szCs w:val="22"/>
                <w:highlight w:val="none"/>
              </w:rPr>
              <w:t>年</w:t>
            </w:r>
            <w:r>
              <w:rPr>
                <w:rFonts w:hint="eastAsia" w:cs="Times New Roman"/>
                <w:kern w:val="2"/>
                <w:szCs w:val="22"/>
                <w:highlight w:val="none"/>
                <w:lang w:val="en-US" w:eastAsia="zh-CN"/>
              </w:rPr>
              <w:t>1</w:t>
            </w:r>
            <w:r>
              <w:rPr>
                <w:rFonts w:hint="eastAsia" w:cs="Times New Roman"/>
                <w:kern w:val="2"/>
                <w:szCs w:val="22"/>
                <w:highlight w:val="none"/>
              </w:rPr>
              <w:t>月</w:t>
            </w:r>
            <w:r>
              <w:rPr>
                <w:rFonts w:hint="eastAsia" w:cs="Times New Roman"/>
                <w:kern w:val="2"/>
                <w:szCs w:val="22"/>
                <w:highlight w:val="none"/>
                <w:lang w:val="en-US" w:eastAsia="zh-CN"/>
              </w:rPr>
              <w:t>5</w:t>
            </w:r>
            <w:r>
              <w:rPr>
                <w:rFonts w:hint="eastAsia" w:cs="Times New Roman"/>
                <w:kern w:val="2"/>
                <w:szCs w:val="22"/>
                <w:highlight w:val="none"/>
              </w:rPr>
              <w:t>日上午9点</w:t>
            </w:r>
            <w:r>
              <w:rPr>
                <w:rFonts w:hint="eastAsia"/>
                <w:highlight w:val="none"/>
                <w:lang w:eastAsia="zh-CN"/>
              </w:rPr>
              <w:t>，</w:t>
            </w:r>
            <w:r>
              <w:rPr>
                <w:rFonts w:hint="eastAsia"/>
                <w:highlight w:val="none"/>
                <w:lang w:val="en-US" w:eastAsia="zh-CN"/>
              </w:rPr>
              <w:t>上传报名网站</w:t>
            </w:r>
          </w:p>
        </w:tc>
      </w:tr>
      <w:tr w14:paraId="54E5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EFD03CA">
            <w:pPr>
              <w:shd w:val="clear"/>
              <w:jc w:val="center"/>
              <w:rPr>
                <w:rFonts w:hint="eastAsia"/>
                <w:highlight w:val="none"/>
              </w:rPr>
            </w:pPr>
            <w:r>
              <w:rPr>
                <w:rFonts w:hint="eastAsia"/>
                <w:highlight w:val="none"/>
              </w:rPr>
              <w:t>3.5.2</w:t>
            </w:r>
          </w:p>
        </w:tc>
        <w:tc>
          <w:tcPr>
            <w:tcW w:w="1660" w:type="dxa"/>
            <w:noWrap w:val="0"/>
            <w:vAlign w:val="center"/>
          </w:tcPr>
          <w:p w14:paraId="32629692">
            <w:pPr>
              <w:shd w:val="clear"/>
              <w:spacing w:line="360" w:lineRule="exact"/>
              <w:jc w:val="center"/>
              <w:rPr>
                <w:highlight w:val="none"/>
              </w:rPr>
            </w:pPr>
            <w:r>
              <w:rPr>
                <w:rFonts w:hint="eastAsia"/>
                <w:highlight w:val="none"/>
              </w:rPr>
              <w:t>近3年财务报表</w:t>
            </w:r>
          </w:p>
        </w:tc>
        <w:tc>
          <w:tcPr>
            <w:tcW w:w="7151" w:type="dxa"/>
            <w:gridSpan w:val="2"/>
            <w:noWrap w:val="0"/>
            <w:vAlign w:val="center"/>
          </w:tcPr>
          <w:p w14:paraId="330B62E8">
            <w:pPr>
              <w:shd w:val="clear"/>
              <w:spacing w:line="340" w:lineRule="exact"/>
              <w:rPr>
                <w:rFonts w:hint="default" w:eastAsia="宋体"/>
                <w:highlight w:val="none"/>
                <w:lang w:val="en-US" w:eastAsia="zh-CN"/>
              </w:rPr>
            </w:pPr>
            <w:r>
              <w:rPr>
                <w:rFonts w:hint="eastAsia"/>
                <w:highlight w:val="none"/>
                <w:lang w:val="en-US" w:eastAsia="zh-CN"/>
              </w:rPr>
              <w:t>2022年、2023年、2024年</w:t>
            </w:r>
          </w:p>
        </w:tc>
      </w:tr>
      <w:tr w14:paraId="4589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FD1515A">
            <w:pPr>
              <w:shd w:val="clear"/>
              <w:jc w:val="center"/>
              <w:rPr>
                <w:rFonts w:hint="eastAsia"/>
                <w:highlight w:val="none"/>
              </w:rPr>
            </w:pPr>
            <w:r>
              <w:rPr>
                <w:rFonts w:hint="eastAsia"/>
                <w:highlight w:val="none"/>
              </w:rPr>
              <w:t>3.5.3</w:t>
            </w:r>
          </w:p>
        </w:tc>
        <w:tc>
          <w:tcPr>
            <w:tcW w:w="1660" w:type="dxa"/>
            <w:noWrap w:val="0"/>
            <w:vAlign w:val="center"/>
          </w:tcPr>
          <w:p w14:paraId="55AA4D89">
            <w:pPr>
              <w:shd w:val="clear"/>
              <w:spacing w:line="360" w:lineRule="exact"/>
              <w:jc w:val="center"/>
              <w:rPr>
                <w:highlight w:val="none"/>
              </w:rPr>
            </w:pPr>
            <w:r>
              <w:rPr>
                <w:rFonts w:hint="eastAsia"/>
                <w:highlight w:val="none"/>
              </w:rPr>
              <w:t>近3年完成的类似项目</w:t>
            </w:r>
          </w:p>
        </w:tc>
        <w:tc>
          <w:tcPr>
            <w:tcW w:w="7151" w:type="dxa"/>
            <w:gridSpan w:val="2"/>
            <w:noWrap w:val="0"/>
            <w:vAlign w:val="center"/>
          </w:tcPr>
          <w:p w14:paraId="23F5494C">
            <w:pPr>
              <w:shd w:val="clear"/>
              <w:spacing w:line="340" w:lineRule="exact"/>
              <w:rPr>
                <w:highlight w:val="none"/>
              </w:rPr>
            </w:pPr>
            <w:r>
              <w:rPr>
                <w:rFonts w:hint="eastAsia"/>
                <w:highlight w:val="none"/>
              </w:rPr>
              <w:t>20</w:t>
            </w:r>
            <w:r>
              <w:rPr>
                <w:rFonts w:hint="eastAsia"/>
                <w:highlight w:val="none"/>
                <w:lang w:val="en-US" w:eastAsia="zh-CN"/>
              </w:rPr>
              <w:t>22</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w:t>
            </w:r>
            <w:r>
              <w:rPr>
                <w:rFonts w:hint="eastAsia"/>
                <w:highlight w:val="none"/>
              </w:rPr>
              <w:t>至今。</w:t>
            </w:r>
          </w:p>
        </w:tc>
      </w:tr>
      <w:tr w14:paraId="3AB2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80D5FB0">
            <w:pPr>
              <w:shd w:val="clear"/>
              <w:jc w:val="center"/>
              <w:rPr>
                <w:rFonts w:hint="eastAsia"/>
                <w:highlight w:val="none"/>
              </w:rPr>
            </w:pPr>
            <w:r>
              <w:rPr>
                <w:rFonts w:hint="eastAsia"/>
                <w:highlight w:val="none"/>
              </w:rPr>
              <w:t>3.5.4</w:t>
            </w:r>
          </w:p>
        </w:tc>
        <w:tc>
          <w:tcPr>
            <w:tcW w:w="1660" w:type="dxa"/>
            <w:noWrap w:val="0"/>
            <w:vAlign w:val="center"/>
          </w:tcPr>
          <w:p w14:paraId="2CDBFB22">
            <w:pPr>
              <w:shd w:val="clear"/>
              <w:spacing w:line="360" w:lineRule="exact"/>
              <w:jc w:val="center"/>
              <w:rPr>
                <w:highlight w:val="none"/>
              </w:rPr>
            </w:pPr>
            <w:r>
              <w:rPr>
                <w:rFonts w:hint="eastAsia"/>
                <w:highlight w:val="none"/>
              </w:rPr>
              <w:t>近3年发生的诉讼及仲裁情况的年份要求</w:t>
            </w:r>
          </w:p>
        </w:tc>
        <w:tc>
          <w:tcPr>
            <w:tcW w:w="7151" w:type="dxa"/>
            <w:gridSpan w:val="2"/>
            <w:noWrap w:val="0"/>
            <w:vAlign w:val="center"/>
          </w:tcPr>
          <w:p w14:paraId="41505E32">
            <w:pPr>
              <w:shd w:val="clear"/>
              <w:spacing w:line="340" w:lineRule="exact"/>
              <w:rPr>
                <w:highlight w:val="none"/>
              </w:rPr>
            </w:pPr>
            <w:r>
              <w:rPr>
                <w:rFonts w:hint="eastAsia"/>
                <w:highlight w:val="none"/>
              </w:rPr>
              <w:t>20</w:t>
            </w:r>
            <w:r>
              <w:rPr>
                <w:rFonts w:hint="eastAsia"/>
                <w:highlight w:val="none"/>
                <w:lang w:val="en-US" w:eastAsia="zh-CN"/>
              </w:rPr>
              <w:t>22</w:t>
            </w:r>
            <w:r>
              <w:rPr>
                <w:rFonts w:hint="eastAsia"/>
                <w:highlight w:val="none"/>
              </w:rPr>
              <w:t>年</w:t>
            </w:r>
            <w:r>
              <w:rPr>
                <w:rFonts w:hint="eastAsia"/>
                <w:highlight w:val="none"/>
                <w:lang w:val="en-US" w:eastAsia="zh-CN"/>
              </w:rPr>
              <w:t>12</w:t>
            </w:r>
            <w:r>
              <w:rPr>
                <w:rFonts w:hint="eastAsia"/>
                <w:highlight w:val="none"/>
              </w:rPr>
              <w:t>月01日至今。</w:t>
            </w:r>
          </w:p>
        </w:tc>
      </w:tr>
      <w:tr w14:paraId="7606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1F03949A">
            <w:pPr>
              <w:shd w:val="clear"/>
              <w:jc w:val="center"/>
              <w:rPr>
                <w:highlight w:val="none"/>
              </w:rPr>
            </w:pPr>
            <w:r>
              <w:rPr>
                <w:rFonts w:hint="eastAsia"/>
                <w:highlight w:val="none"/>
              </w:rPr>
              <w:t>3.7.1</w:t>
            </w:r>
          </w:p>
        </w:tc>
        <w:tc>
          <w:tcPr>
            <w:tcW w:w="1660" w:type="dxa"/>
            <w:noWrap w:val="0"/>
            <w:vAlign w:val="center"/>
          </w:tcPr>
          <w:p w14:paraId="1D1D79B4">
            <w:pPr>
              <w:shd w:val="clear"/>
              <w:spacing w:line="360" w:lineRule="exact"/>
              <w:jc w:val="center"/>
              <w:rPr>
                <w:highlight w:val="none"/>
              </w:rPr>
            </w:pPr>
            <w:r>
              <w:rPr>
                <w:rFonts w:hint="eastAsia"/>
                <w:highlight w:val="none"/>
              </w:rPr>
              <w:t>签字或盖章要求</w:t>
            </w:r>
          </w:p>
        </w:tc>
        <w:tc>
          <w:tcPr>
            <w:tcW w:w="7151" w:type="dxa"/>
            <w:gridSpan w:val="2"/>
            <w:noWrap w:val="0"/>
            <w:vAlign w:val="center"/>
          </w:tcPr>
          <w:p w14:paraId="59BA3E40">
            <w:pPr>
              <w:shd w:val="clear"/>
              <w:spacing w:line="340" w:lineRule="exact"/>
              <w:rPr>
                <w:highlight w:val="none"/>
              </w:rPr>
            </w:pPr>
            <w:r>
              <w:rPr>
                <w:rFonts w:hint="eastAsia"/>
                <w:highlight w:val="none"/>
              </w:rPr>
              <w:t>投标文件应按第五章“投标文件格式及内容”要求进行签字或盖章，否则其投标文件按照无效处理。</w:t>
            </w:r>
          </w:p>
        </w:tc>
      </w:tr>
      <w:tr w14:paraId="69C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690C55EC">
            <w:pPr>
              <w:shd w:val="clear"/>
              <w:jc w:val="center"/>
              <w:rPr>
                <w:highlight w:val="none"/>
              </w:rPr>
            </w:pPr>
            <w:r>
              <w:rPr>
                <w:rFonts w:hint="eastAsia"/>
                <w:highlight w:val="none"/>
              </w:rPr>
              <w:t>3.7.2</w:t>
            </w:r>
          </w:p>
        </w:tc>
        <w:tc>
          <w:tcPr>
            <w:tcW w:w="1660" w:type="dxa"/>
            <w:noWrap w:val="0"/>
            <w:vAlign w:val="center"/>
          </w:tcPr>
          <w:p w14:paraId="14FCBAC2">
            <w:pPr>
              <w:shd w:val="clear"/>
              <w:spacing w:line="360" w:lineRule="exact"/>
              <w:jc w:val="center"/>
              <w:rPr>
                <w:highlight w:val="none"/>
              </w:rPr>
            </w:pPr>
            <w:r>
              <w:rPr>
                <w:rFonts w:hint="eastAsia"/>
                <w:highlight w:val="none"/>
              </w:rPr>
              <w:t>投标文件份数</w:t>
            </w:r>
            <w:r>
              <w:rPr>
                <w:rFonts w:hint="eastAsia"/>
                <w:highlight w:val="none"/>
                <w:lang w:eastAsia="zh-CN"/>
              </w:rPr>
              <w:t>（</w:t>
            </w:r>
            <w:r>
              <w:rPr>
                <w:rFonts w:hint="eastAsia"/>
                <w:highlight w:val="none"/>
                <w:lang w:val="en-US" w:eastAsia="zh-CN"/>
              </w:rPr>
              <w:t>中标单位提供纸质版投标文件）</w:t>
            </w:r>
          </w:p>
        </w:tc>
        <w:tc>
          <w:tcPr>
            <w:tcW w:w="7151" w:type="dxa"/>
            <w:gridSpan w:val="2"/>
            <w:noWrap w:val="0"/>
            <w:vAlign w:val="center"/>
          </w:tcPr>
          <w:p w14:paraId="4DA44384">
            <w:pPr>
              <w:shd w:val="clear"/>
              <w:spacing w:line="340" w:lineRule="exact"/>
              <w:rPr>
                <w:b/>
                <w:highlight w:val="none"/>
              </w:rPr>
            </w:pPr>
            <w:r>
              <w:rPr>
                <w:rFonts w:hint="eastAsia"/>
                <w:highlight w:val="none"/>
              </w:rPr>
              <w:t>中标人提供</w:t>
            </w:r>
            <w:r>
              <w:rPr>
                <w:rFonts w:hint="eastAsia"/>
                <w:highlight w:val="none"/>
                <w:lang w:val="en-US" w:eastAsia="zh-CN"/>
              </w:rPr>
              <w:t>纸质投标文件</w:t>
            </w:r>
            <w:r>
              <w:rPr>
                <w:rFonts w:hint="eastAsia"/>
                <w:highlight w:val="none"/>
              </w:rPr>
              <w:t>正本</w:t>
            </w:r>
            <w:r>
              <w:rPr>
                <w:rFonts w:hint="eastAsia"/>
                <w:highlight w:val="none"/>
                <w:lang w:eastAsia="zh-CN"/>
              </w:rPr>
              <w:t>、</w:t>
            </w:r>
            <w:r>
              <w:rPr>
                <w:rFonts w:hint="eastAsia"/>
                <w:highlight w:val="none"/>
              </w:rPr>
              <w:t>副本</w:t>
            </w:r>
            <w:r>
              <w:rPr>
                <w:rFonts w:hint="eastAsia"/>
                <w:highlight w:val="none"/>
                <w:lang w:val="en-US" w:eastAsia="zh-CN"/>
              </w:rPr>
              <w:t>各一</w:t>
            </w:r>
            <w:r>
              <w:rPr>
                <w:rFonts w:hint="eastAsia"/>
                <w:highlight w:val="none"/>
              </w:rPr>
              <w:t>份。</w:t>
            </w:r>
          </w:p>
        </w:tc>
      </w:tr>
      <w:tr w14:paraId="28A0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35861297">
            <w:pPr>
              <w:shd w:val="clear"/>
              <w:jc w:val="center"/>
              <w:rPr>
                <w:highlight w:val="none"/>
              </w:rPr>
            </w:pPr>
            <w:r>
              <w:rPr>
                <w:rFonts w:hint="eastAsia"/>
                <w:highlight w:val="none"/>
              </w:rPr>
              <w:t>3.7.3</w:t>
            </w:r>
          </w:p>
        </w:tc>
        <w:tc>
          <w:tcPr>
            <w:tcW w:w="1660" w:type="dxa"/>
            <w:noWrap w:val="0"/>
            <w:vAlign w:val="center"/>
          </w:tcPr>
          <w:p w14:paraId="6718C520">
            <w:pPr>
              <w:shd w:val="clear"/>
              <w:spacing w:line="360" w:lineRule="exact"/>
              <w:ind w:left="120" w:leftChars="-50" w:right="-120" w:rightChars="-50" w:hanging="240" w:hangingChars="100"/>
              <w:jc w:val="center"/>
              <w:rPr>
                <w:highlight w:val="none"/>
              </w:rPr>
            </w:pPr>
            <w:r>
              <w:rPr>
                <w:rFonts w:hint="eastAsia"/>
                <w:highlight w:val="none"/>
              </w:rPr>
              <w:t>纸质投标文件装订要求</w:t>
            </w:r>
            <w:r>
              <w:rPr>
                <w:rFonts w:hint="eastAsia"/>
                <w:highlight w:val="none"/>
                <w:lang w:eastAsia="zh-CN"/>
              </w:rPr>
              <w:t>（</w:t>
            </w:r>
            <w:r>
              <w:rPr>
                <w:rFonts w:hint="eastAsia"/>
                <w:highlight w:val="none"/>
                <w:lang w:val="en-US" w:eastAsia="zh-CN"/>
              </w:rPr>
              <w:t>中标单位提供纸质版投标文件）</w:t>
            </w:r>
          </w:p>
        </w:tc>
        <w:tc>
          <w:tcPr>
            <w:tcW w:w="7151" w:type="dxa"/>
            <w:gridSpan w:val="2"/>
            <w:noWrap w:val="0"/>
            <w:vAlign w:val="center"/>
          </w:tcPr>
          <w:p w14:paraId="0232FDC8">
            <w:pPr>
              <w:shd w:val="clear"/>
              <w:spacing w:line="340" w:lineRule="exact"/>
              <w:jc w:val="left"/>
              <w:rPr>
                <w:highlight w:val="none"/>
              </w:rPr>
            </w:pPr>
            <w:r>
              <w:rPr>
                <w:rFonts w:hint="eastAsia"/>
                <w:highlight w:val="none"/>
              </w:rPr>
              <w:t>1、投标文件的正本与副本应分别装订成册。</w:t>
            </w:r>
          </w:p>
          <w:p w14:paraId="55E39CA8">
            <w:pPr>
              <w:shd w:val="clear"/>
              <w:spacing w:line="340" w:lineRule="exact"/>
              <w:jc w:val="left"/>
              <w:rPr>
                <w:highlight w:val="none"/>
              </w:rPr>
            </w:pPr>
            <w:r>
              <w:rPr>
                <w:rFonts w:hint="eastAsia"/>
                <w:highlight w:val="none"/>
              </w:rPr>
              <w:t>2、投标文件每册均须采用胶装方式在左侧装订，装订须牢固不易拆散和换页，不得采用活页方式装订。</w:t>
            </w:r>
          </w:p>
          <w:p w14:paraId="4E9B4D88">
            <w:pPr>
              <w:shd w:val="clear"/>
              <w:spacing w:line="340" w:lineRule="exact"/>
              <w:rPr>
                <w:rFonts w:hint="eastAsia"/>
                <w:highlight w:val="none"/>
              </w:rPr>
            </w:pPr>
            <w:r>
              <w:rPr>
                <w:rFonts w:hint="eastAsia"/>
                <w:highlight w:val="none"/>
              </w:rPr>
              <w:t>3、投标文件正本和副本的封面上应清楚地标记“正本”或“副本”的字样；正本和副本如有不一致之处，以正本为准。</w:t>
            </w:r>
          </w:p>
          <w:p w14:paraId="3F85BA66">
            <w:pPr>
              <w:pStyle w:val="45"/>
              <w:shd w:val="clear"/>
              <w:ind w:left="0" w:leftChars="0" w:right="-120" w:rightChars="-50" w:firstLine="0" w:firstLineChars="0"/>
              <w:rPr>
                <w:highlight w:val="none"/>
              </w:rPr>
            </w:pPr>
            <w:r>
              <w:rPr>
                <w:rFonts w:hint="eastAsia"/>
                <w:bCs/>
                <w:highlight w:val="none"/>
                <w:lang w:val="en-US" w:eastAsia="zh-CN"/>
              </w:rPr>
              <w:t>4、投标单位</w:t>
            </w:r>
            <w:r>
              <w:rPr>
                <w:rFonts w:hint="eastAsia"/>
                <w:highlight w:val="none"/>
                <w:lang w:val="en-US" w:eastAsia="zh-CN"/>
              </w:rPr>
              <w:t>收到中标通知书后3日内，</w:t>
            </w:r>
            <w:r>
              <w:rPr>
                <w:rFonts w:hint="eastAsia"/>
                <w:bCs/>
                <w:highlight w:val="none"/>
                <w:lang w:val="en-US" w:eastAsia="zh-CN"/>
              </w:rPr>
              <w:t>需将</w:t>
            </w:r>
            <w:r>
              <w:rPr>
                <w:rFonts w:hint="eastAsia"/>
                <w:highlight w:val="none"/>
              </w:rPr>
              <w:t>纸质投标文件</w:t>
            </w:r>
            <w:r>
              <w:rPr>
                <w:rFonts w:hint="eastAsia"/>
                <w:highlight w:val="none"/>
                <w:lang w:val="en-US" w:eastAsia="zh-CN"/>
              </w:rPr>
              <w:t>邮寄到山东省济南市官庄街道青野村东，山东济钢环保新材料有限公司，收件人：史工，收件人手机号：18615514537</w:t>
            </w:r>
          </w:p>
        </w:tc>
      </w:tr>
      <w:tr w14:paraId="433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184E0A9">
            <w:pPr>
              <w:shd w:val="clear"/>
              <w:jc w:val="center"/>
              <w:rPr>
                <w:highlight w:val="none"/>
              </w:rPr>
            </w:pPr>
            <w:r>
              <w:rPr>
                <w:rFonts w:hint="eastAsia"/>
                <w:highlight w:val="none"/>
              </w:rPr>
              <w:t>3.7.4</w:t>
            </w:r>
          </w:p>
        </w:tc>
        <w:tc>
          <w:tcPr>
            <w:tcW w:w="1660" w:type="dxa"/>
            <w:noWrap w:val="0"/>
            <w:vAlign w:val="center"/>
          </w:tcPr>
          <w:p w14:paraId="72406B1B">
            <w:pPr>
              <w:shd w:val="clear"/>
              <w:spacing w:line="360" w:lineRule="exact"/>
              <w:ind w:left="240" w:hanging="240" w:hangingChars="100"/>
              <w:jc w:val="center"/>
              <w:rPr>
                <w:highlight w:val="none"/>
              </w:rPr>
            </w:pPr>
            <w:r>
              <w:rPr>
                <w:rFonts w:hint="eastAsia"/>
                <w:highlight w:val="none"/>
              </w:rPr>
              <w:t>电子文档</w:t>
            </w:r>
          </w:p>
        </w:tc>
        <w:tc>
          <w:tcPr>
            <w:tcW w:w="7151" w:type="dxa"/>
            <w:gridSpan w:val="2"/>
            <w:noWrap w:val="0"/>
            <w:vAlign w:val="center"/>
          </w:tcPr>
          <w:p w14:paraId="4FC25ED9">
            <w:pPr>
              <w:shd w:val="clear"/>
              <w:spacing w:line="340" w:lineRule="exact"/>
              <w:rPr>
                <w:bCs/>
                <w:highlight w:val="none"/>
              </w:rPr>
            </w:pPr>
            <w:r>
              <w:rPr>
                <w:rFonts w:hint="eastAsia"/>
                <w:bCs/>
                <w:highlight w:val="none"/>
              </w:rPr>
              <w:t>详见招标须知正文3.7.6条款</w:t>
            </w:r>
          </w:p>
        </w:tc>
      </w:tr>
      <w:tr w14:paraId="221F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B0680A5">
            <w:pPr>
              <w:shd w:val="clear"/>
              <w:spacing w:line="442" w:lineRule="exact"/>
              <w:jc w:val="center"/>
              <w:rPr>
                <w:rFonts w:ascii="仿宋" w:hAnsi="仿宋" w:eastAsia="仿宋" w:cs="MingLiU"/>
                <w:highlight w:val="none"/>
              </w:rPr>
            </w:pPr>
            <w:r>
              <w:rPr>
                <w:rFonts w:ascii="仿宋" w:hAnsi="仿宋" w:eastAsia="仿宋" w:cs="MingLiU"/>
                <w:highlight w:val="none"/>
              </w:rPr>
              <w:t>4.2.1</w:t>
            </w:r>
          </w:p>
        </w:tc>
        <w:tc>
          <w:tcPr>
            <w:tcW w:w="1660" w:type="dxa"/>
            <w:noWrap w:val="0"/>
            <w:vAlign w:val="center"/>
          </w:tcPr>
          <w:p w14:paraId="0ADD591C">
            <w:pPr>
              <w:shd w:val="clear"/>
              <w:spacing w:line="360" w:lineRule="exact"/>
              <w:ind w:left="240" w:hanging="240" w:hangingChars="100"/>
              <w:rPr>
                <w:highlight w:val="none"/>
              </w:rPr>
            </w:pPr>
            <w:r>
              <w:rPr>
                <w:highlight w:val="none"/>
              </w:rPr>
              <w:t>递交</w:t>
            </w:r>
            <w:r>
              <w:rPr>
                <w:rFonts w:hint="eastAsia"/>
                <w:highlight w:val="none"/>
              </w:rPr>
              <w:t>投标</w:t>
            </w:r>
            <w:r>
              <w:rPr>
                <w:highlight w:val="none"/>
              </w:rPr>
              <w:t>文件截止时间</w:t>
            </w:r>
          </w:p>
        </w:tc>
        <w:tc>
          <w:tcPr>
            <w:tcW w:w="7151" w:type="dxa"/>
            <w:gridSpan w:val="2"/>
            <w:noWrap w:val="0"/>
            <w:vAlign w:val="center"/>
          </w:tcPr>
          <w:p w14:paraId="2A2D3AB3">
            <w:pPr>
              <w:shd w:val="clear"/>
              <w:spacing w:line="360" w:lineRule="exact"/>
              <w:ind w:left="240" w:hanging="240" w:hangingChars="100"/>
              <w:rPr>
                <w:highlight w:val="none"/>
              </w:rPr>
            </w:pPr>
            <w:r>
              <w:rPr>
                <w:rFonts w:hint="eastAsia" w:cs="Times New Roman"/>
                <w:kern w:val="2"/>
                <w:szCs w:val="22"/>
                <w:highlight w:val="none"/>
              </w:rPr>
              <w:t>202</w:t>
            </w:r>
            <w:r>
              <w:rPr>
                <w:rFonts w:hint="eastAsia" w:cs="Times New Roman"/>
                <w:kern w:val="2"/>
                <w:szCs w:val="22"/>
                <w:highlight w:val="none"/>
                <w:lang w:val="en-US" w:eastAsia="zh-CN"/>
              </w:rPr>
              <w:t>6</w:t>
            </w:r>
            <w:r>
              <w:rPr>
                <w:rFonts w:hint="eastAsia" w:cs="Times New Roman"/>
                <w:kern w:val="2"/>
                <w:szCs w:val="22"/>
                <w:highlight w:val="none"/>
              </w:rPr>
              <w:t>年</w:t>
            </w:r>
            <w:r>
              <w:rPr>
                <w:rFonts w:hint="eastAsia" w:cs="Times New Roman"/>
                <w:kern w:val="2"/>
                <w:szCs w:val="22"/>
                <w:highlight w:val="none"/>
                <w:lang w:val="en-US" w:eastAsia="zh-CN"/>
              </w:rPr>
              <w:t>1</w:t>
            </w:r>
            <w:r>
              <w:rPr>
                <w:rFonts w:hint="eastAsia" w:cs="Times New Roman"/>
                <w:kern w:val="2"/>
                <w:szCs w:val="22"/>
                <w:highlight w:val="none"/>
              </w:rPr>
              <w:t>月</w:t>
            </w:r>
            <w:r>
              <w:rPr>
                <w:rFonts w:hint="eastAsia" w:cs="Times New Roman"/>
                <w:kern w:val="2"/>
                <w:szCs w:val="22"/>
                <w:highlight w:val="none"/>
                <w:lang w:val="en-US" w:eastAsia="zh-CN"/>
              </w:rPr>
              <w:t>5</w:t>
            </w:r>
            <w:r>
              <w:rPr>
                <w:rFonts w:hint="eastAsia" w:cs="Times New Roman"/>
                <w:kern w:val="2"/>
                <w:szCs w:val="22"/>
                <w:highlight w:val="none"/>
              </w:rPr>
              <w:t>日上午9点</w:t>
            </w:r>
          </w:p>
        </w:tc>
      </w:tr>
      <w:tr w14:paraId="0F7E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7F151017">
            <w:pPr>
              <w:shd w:val="clear"/>
              <w:spacing w:line="442" w:lineRule="exact"/>
              <w:jc w:val="center"/>
              <w:rPr>
                <w:rFonts w:ascii="仿宋" w:hAnsi="仿宋" w:eastAsia="仿宋" w:cs="MingLiU"/>
                <w:highlight w:val="none"/>
              </w:rPr>
            </w:pPr>
            <w:r>
              <w:rPr>
                <w:rFonts w:ascii="仿宋" w:hAnsi="仿宋" w:eastAsia="仿宋" w:cs="MingLiU"/>
                <w:highlight w:val="none"/>
              </w:rPr>
              <w:t xml:space="preserve">4.2.2 </w:t>
            </w:r>
          </w:p>
        </w:tc>
        <w:tc>
          <w:tcPr>
            <w:tcW w:w="1660" w:type="dxa"/>
            <w:noWrap w:val="0"/>
            <w:vAlign w:val="center"/>
          </w:tcPr>
          <w:p w14:paraId="6DF27376">
            <w:pPr>
              <w:shd w:val="clear"/>
              <w:spacing w:line="360" w:lineRule="exact"/>
              <w:ind w:left="240" w:hanging="240" w:hangingChars="100"/>
              <w:jc w:val="center"/>
              <w:rPr>
                <w:highlight w:val="none"/>
              </w:rPr>
            </w:pPr>
            <w:r>
              <w:rPr>
                <w:highlight w:val="none"/>
              </w:rPr>
              <w:t>递交</w:t>
            </w:r>
            <w:r>
              <w:rPr>
                <w:rFonts w:hint="eastAsia"/>
                <w:highlight w:val="none"/>
              </w:rPr>
              <w:t>投标</w:t>
            </w:r>
            <w:r>
              <w:rPr>
                <w:highlight w:val="none"/>
              </w:rPr>
              <w:t>文件地点</w:t>
            </w:r>
          </w:p>
        </w:tc>
        <w:tc>
          <w:tcPr>
            <w:tcW w:w="7151" w:type="dxa"/>
            <w:gridSpan w:val="2"/>
            <w:noWrap w:val="0"/>
            <w:vAlign w:val="center"/>
          </w:tcPr>
          <w:p w14:paraId="0734EAC3">
            <w:pPr>
              <w:shd w:val="clear"/>
              <w:spacing w:line="360" w:lineRule="exact"/>
              <w:ind w:left="240" w:hanging="240" w:hangingChars="100"/>
              <w:rPr>
                <w:highlight w:val="none"/>
              </w:rPr>
            </w:pPr>
            <w:r>
              <w:rPr>
                <w:rFonts w:hint="eastAsia"/>
                <w:highlight w:val="none"/>
              </w:rPr>
              <w:t>上传至济钢集团有限公司阳光购销平台（网址：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w:t>
            </w:r>
          </w:p>
        </w:tc>
      </w:tr>
      <w:tr w14:paraId="0245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EB70856">
            <w:pPr>
              <w:shd w:val="clear"/>
              <w:jc w:val="center"/>
              <w:rPr>
                <w:color w:val="000000"/>
                <w:highlight w:val="none"/>
              </w:rPr>
            </w:pPr>
            <w:r>
              <w:rPr>
                <w:rFonts w:hint="eastAsia"/>
                <w:color w:val="000000"/>
                <w:highlight w:val="none"/>
              </w:rPr>
              <w:t>4.2.3</w:t>
            </w:r>
          </w:p>
        </w:tc>
        <w:tc>
          <w:tcPr>
            <w:tcW w:w="1660" w:type="dxa"/>
            <w:noWrap w:val="0"/>
            <w:vAlign w:val="center"/>
          </w:tcPr>
          <w:p w14:paraId="55FC8331">
            <w:pPr>
              <w:shd w:val="clear"/>
              <w:spacing w:line="360" w:lineRule="exact"/>
              <w:ind w:left="240" w:hanging="240" w:hangingChars="100"/>
              <w:jc w:val="center"/>
              <w:rPr>
                <w:highlight w:val="none"/>
              </w:rPr>
            </w:pPr>
            <w:r>
              <w:rPr>
                <w:rFonts w:hint="eastAsia"/>
                <w:highlight w:val="none"/>
              </w:rPr>
              <w:t>投标</w:t>
            </w:r>
            <w:r>
              <w:rPr>
                <w:highlight w:val="none"/>
              </w:rPr>
              <w:t>文件是否退还</w:t>
            </w:r>
          </w:p>
        </w:tc>
        <w:tc>
          <w:tcPr>
            <w:tcW w:w="7151" w:type="dxa"/>
            <w:gridSpan w:val="2"/>
            <w:noWrap w:val="0"/>
            <w:vAlign w:val="center"/>
          </w:tcPr>
          <w:p w14:paraId="41A3F6A4">
            <w:pPr>
              <w:shd w:val="clear"/>
              <w:spacing w:line="340" w:lineRule="exact"/>
              <w:ind w:left="240" w:hanging="240" w:hangingChars="100"/>
              <w:rPr>
                <w:highlight w:val="none"/>
              </w:rPr>
            </w:pPr>
            <w:r>
              <w:rPr>
                <w:rFonts w:hint="eastAsia"/>
                <w:highlight w:val="none"/>
              </w:rPr>
              <w:t>否</w:t>
            </w:r>
          </w:p>
        </w:tc>
      </w:tr>
      <w:tr w14:paraId="4118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DA97A77">
            <w:pPr>
              <w:shd w:val="clear"/>
              <w:jc w:val="center"/>
              <w:rPr>
                <w:color w:val="000000"/>
                <w:highlight w:val="none"/>
              </w:rPr>
            </w:pPr>
            <w:r>
              <w:rPr>
                <w:rFonts w:hint="eastAsia"/>
                <w:color w:val="000000"/>
                <w:highlight w:val="none"/>
              </w:rPr>
              <w:t>5.1.1</w:t>
            </w:r>
          </w:p>
        </w:tc>
        <w:tc>
          <w:tcPr>
            <w:tcW w:w="1660" w:type="dxa"/>
            <w:noWrap w:val="0"/>
            <w:vAlign w:val="center"/>
          </w:tcPr>
          <w:p w14:paraId="2B29D523">
            <w:pPr>
              <w:shd w:val="clear"/>
              <w:spacing w:line="360" w:lineRule="exact"/>
              <w:jc w:val="center"/>
              <w:rPr>
                <w:rFonts w:hint="eastAsia"/>
                <w:color w:val="000000"/>
                <w:highlight w:val="none"/>
              </w:rPr>
            </w:pPr>
            <w:r>
              <w:rPr>
                <w:rFonts w:hint="eastAsia"/>
                <w:color w:val="000000"/>
                <w:highlight w:val="none"/>
              </w:rPr>
              <w:t>开标时间和</w:t>
            </w:r>
          </w:p>
          <w:p w14:paraId="65F9EA84">
            <w:pPr>
              <w:shd w:val="clear"/>
              <w:spacing w:line="360" w:lineRule="exact"/>
              <w:jc w:val="center"/>
              <w:rPr>
                <w:rFonts w:hint="eastAsia"/>
                <w:color w:val="000000"/>
                <w:highlight w:val="none"/>
              </w:rPr>
            </w:pPr>
            <w:r>
              <w:rPr>
                <w:rFonts w:hint="eastAsia"/>
                <w:color w:val="000000"/>
                <w:highlight w:val="none"/>
              </w:rPr>
              <w:t>方式</w:t>
            </w:r>
          </w:p>
        </w:tc>
        <w:tc>
          <w:tcPr>
            <w:tcW w:w="7151" w:type="dxa"/>
            <w:gridSpan w:val="2"/>
            <w:noWrap w:val="0"/>
            <w:vAlign w:val="center"/>
          </w:tcPr>
          <w:p w14:paraId="744C0899">
            <w:pPr>
              <w:shd w:val="clear"/>
              <w:spacing w:line="340" w:lineRule="exact"/>
              <w:rPr>
                <w:color w:val="000000"/>
                <w:highlight w:val="none"/>
              </w:rPr>
            </w:pPr>
            <w:r>
              <w:rPr>
                <w:rFonts w:hint="eastAsia"/>
                <w:color w:val="000000"/>
                <w:highlight w:val="none"/>
              </w:rPr>
              <w:t>开标时间：</w:t>
            </w:r>
            <w:r>
              <w:rPr>
                <w:rFonts w:hint="eastAsia" w:cs="Times New Roman"/>
                <w:kern w:val="2"/>
                <w:szCs w:val="22"/>
                <w:highlight w:val="none"/>
              </w:rPr>
              <w:t>202</w:t>
            </w:r>
            <w:r>
              <w:rPr>
                <w:rFonts w:hint="eastAsia" w:cs="Times New Roman"/>
                <w:kern w:val="2"/>
                <w:szCs w:val="22"/>
                <w:highlight w:val="none"/>
                <w:lang w:val="en-US" w:eastAsia="zh-CN"/>
              </w:rPr>
              <w:t>6</w:t>
            </w:r>
            <w:r>
              <w:rPr>
                <w:rFonts w:hint="eastAsia" w:cs="Times New Roman"/>
                <w:kern w:val="2"/>
                <w:szCs w:val="22"/>
                <w:highlight w:val="none"/>
              </w:rPr>
              <w:t>年</w:t>
            </w:r>
            <w:r>
              <w:rPr>
                <w:rFonts w:hint="eastAsia" w:cs="Times New Roman"/>
                <w:kern w:val="2"/>
                <w:szCs w:val="22"/>
                <w:highlight w:val="none"/>
                <w:lang w:val="en-US" w:eastAsia="zh-CN"/>
              </w:rPr>
              <w:t>1</w:t>
            </w:r>
            <w:r>
              <w:rPr>
                <w:rFonts w:hint="eastAsia" w:cs="Times New Roman"/>
                <w:kern w:val="2"/>
                <w:szCs w:val="22"/>
                <w:highlight w:val="none"/>
              </w:rPr>
              <w:t>月</w:t>
            </w:r>
            <w:r>
              <w:rPr>
                <w:rFonts w:hint="eastAsia" w:cs="Times New Roman"/>
                <w:kern w:val="2"/>
                <w:szCs w:val="22"/>
                <w:highlight w:val="none"/>
                <w:lang w:val="en-US" w:eastAsia="zh-CN"/>
              </w:rPr>
              <w:t>5</w:t>
            </w:r>
            <w:r>
              <w:rPr>
                <w:rFonts w:hint="eastAsia" w:cs="Times New Roman"/>
                <w:kern w:val="2"/>
                <w:szCs w:val="22"/>
                <w:highlight w:val="none"/>
              </w:rPr>
              <w:t>日上午9点</w:t>
            </w:r>
          </w:p>
          <w:p w14:paraId="4979362D">
            <w:pPr>
              <w:shd w:val="clear"/>
              <w:spacing w:line="340" w:lineRule="exact"/>
              <w:rPr>
                <w:rFonts w:hint="default" w:eastAsia="宋体"/>
                <w:color w:val="000000"/>
                <w:highlight w:val="none"/>
                <w:lang w:val="en-US" w:eastAsia="zh-CN"/>
              </w:rPr>
            </w:pPr>
            <w:r>
              <w:rPr>
                <w:rFonts w:hint="eastAsia"/>
                <w:color w:val="000000"/>
                <w:highlight w:val="none"/>
              </w:rPr>
              <w:t>开标方式：</w:t>
            </w:r>
            <w:r>
              <w:rPr>
                <w:rFonts w:hint="eastAsia"/>
                <w:color w:val="000000"/>
                <w:highlight w:val="none"/>
                <w:lang w:val="en-US" w:eastAsia="zh-CN"/>
              </w:rPr>
              <w:t>网上开标</w:t>
            </w:r>
          </w:p>
        </w:tc>
      </w:tr>
      <w:tr w14:paraId="050B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AB13760">
            <w:pPr>
              <w:shd w:val="clear"/>
              <w:jc w:val="center"/>
              <w:rPr>
                <w:highlight w:val="none"/>
              </w:rPr>
            </w:pPr>
            <w:r>
              <w:rPr>
                <w:rFonts w:hint="eastAsia"/>
                <w:highlight w:val="none"/>
              </w:rPr>
              <w:t>6.3</w:t>
            </w:r>
          </w:p>
        </w:tc>
        <w:tc>
          <w:tcPr>
            <w:tcW w:w="1660" w:type="dxa"/>
            <w:noWrap w:val="0"/>
            <w:vAlign w:val="center"/>
          </w:tcPr>
          <w:p w14:paraId="561FD34B">
            <w:pPr>
              <w:shd w:val="clear"/>
              <w:spacing w:line="360" w:lineRule="exact"/>
              <w:jc w:val="center"/>
              <w:rPr>
                <w:highlight w:val="none"/>
              </w:rPr>
            </w:pPr>
            <w:r>
              <w:rPr>
                <w:rFonts w:hint="eastAsia"/>
                <w:highlight w:val="none"/>
              </w:rPr>
              <w:t>评标方法</w:t>
            </w:r>
          </w:p>
        </w:tc>
        <w:tc>
          <w:tcPr>
            <w:tcW w:w="7151" w:type="dxa"/>
            <w:gridSpan w:val="2"/>
            <w:noWrap w:val="0"/>
            <w:vAlign w:val="center"/>
          </w:tcPr>
          <w:p w14:paraId="5F900514">
            <w:pPr>
              <w:shd w:val="clear"/>
              <w:spacing w:line="340" w:lineRule="exact"/>
              <w:rPr>
                <w:bCs/>
                <w:highlight w:val="none"/>
              </w:rPr>
            </w:pPr>
            <w:r>
              <w:rPr>
                <w:rFonts w:hint="eastAsia"/>
                <w:bCs/>
                <w:highlight w:val="none"/>
              </w:rPr>
              <w:t>综合评标法</w:t>
            </w:r>
          </w:p>
        </w:tc>
      </w:tr>
      <w:tr w14:paraId="1DA4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noWrap w:val="0"/>
            <w:vAlign w:val="center"/>
          </w:tcPr>
          <w:p w14:paraId="7C43EAB8">
            <w:pPr>
              <w:shd w:val="clear"/>
              <w:jc w:val="center"/>
              <w:rPr>
                <w:rFonts w:hint="eastAsia"/>
                <w:highlight w:val="none"/>
              </w:rPr>
            </w:pPr>
            <w:r>
              <w:rPr>
                <w:rFonts w:hint="eastAsia"/>
                <w:highlight w:val="none"/>
              </w:rPr>
              <w:t>7.5</w:t>
            </w:r>
          </w:p>
        </w:tc>
        <w:tc>
          <w:tcPr>
            <w:tcW w:w="1660" w:type="dxa"/>
            <w:noWrap w:val="0"/>
            <w:vAlign w:val="center"/>
          </w:tcPr>
          <w:p w14:paraId="7D6C92A2">
            <w:pPr>
              <w:shd w:val="clear"/>
              <w:spacing w:line="360" w:lineRule="exact"/>
              <w:jc w:val="center"/>
              <w:rPr>
                <w:highlight w:val="yellow"/>
              </w:rPr>
            </w:pPr>
            <w:r>
              <w:rPr>
                <w:rFonts w:hint="eastAsia"/>
                <w:highlight w:val="yellow"/>
              </w:rPr>
              <w:t>履约</w:t>
            </w:r>
            <w:r>
              <w:rPr>
                <w:rFonts w:hint="eastAsia"/>
                <w:bCs/>
                <w:highlight w:val="yellow"/>
              </w:rPr>
              <w:t>保证金</w:t>
            </w:r>
          </w:p>
        </w:tc>
        <w:tc>
          <w:tcPr>
            <w:tcW w:w="7151" w:type="dxa"/>
            <w:gridSpan w:val="2"/>
            <w:noWrap w:val="0"/>
            <w:vAlign w:val="center"/>
          </w:tcPr>
          <w:p w14:paraId="66F8F88C">
            <w:pPr>
              <w:shd w:val="clear"/>
              <w:spacing w:line="340" w:lineRule="exact"/>
              <w:rPr>
                <w:rFonts w:hint="default" w:eastAsia="宋体"/>
                <w:color w:val="FF0000"/>
                <w:highlight w:val="yellow"/>
                <w:lang w:val="en-US" w:eastAsia="zh-CN"/>
              </w:rPr>
            </w:pPr>
            <w:r>
              <w:rPr>
                <w:rFonts w:hint="eastAsia" w:ascii="Times New Roman" w:hAnsi="Times New Roman"/>
                <w:color w:val="000000"/>
                <w:highlight w:val="yellow"/>
              </w:rPr>
              <w:t>中标人签订合同前按照中标金额的</w:t>
            </w:r>
            <w:r>
              <w:rPr>
                <w:rFonts w:hint="eastAsia" w:ascii="Times New Roman" w:hAnsi="Times New Roman"/>
                <w:color w:val="000000"/>
                <w:highlight w:val="yellow"/>
                <w:lang w:val="en-US" w:eastAsia="zh-CN"/>
              </w:rPr>
              <w:t>5</w:t>
            </w:r>
            <w:r>
              <w:rPr>
                <w:rFonts w:hint="eastAsia" w:ascii="Times New Roman" w:hAnsi="Times New Roman"/>
                <w:color w:val="000000"/>
                <w:highlight w:val="yellow"/>
              </w:rPr>
              <w:t>%提供履约保证金                                                                                                                                                                                                                                                                                                                                                                                                                                                                                                                                                                                                                                                                                                                                                                                                                                                                                                                                                                                                                                                                                                                                                                                                                                                                                                                                                                                                                                                                                                                                                                                                                                                                                                                                                                                                                                                                                                                                                                                                                                                                                                                                                                                                                                                                   （转账或银行汇票，不收承兑汇票）。如因中标人原因不能履约，履约保证金将全部转为赔偿金。履约完毕，验收合格后无息返还。</w:t>
            </w:r>
          </w:p>
        </w:tc>
      </w:tr>
      <w:tr w14:paraId="5DE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6C8CE907">
            <w:pPr>
              <w:shd w:val="clear"/>
              <w:jc w:val="center"/>
              <w:rPr>
                <w:highlight w:val="none"/>
              </w:rPr>
            </w:pPr>
            <w:r>
              <w:rPr>
                <w:rFonts w:hint="eastAsia"/>
                <w:highlight w:val="none"/>
              </w:rPr>
              <w:t>8.1</w:t>
            </w:r>
          </w:p>
        </w:tc>
        <w:tc>
          <w:tcPr>
            <w:tcW w:w="1660" w:type="dxa"/>
            <w:noWrap w:val="0"/>
            <w:vAlign w:val="center"/>
          </w:tcPr>
          <w:p w14:paraId="73D3E312">
            <w:pPr>
              <w:shd w:val="clear"/>
              <w:spacing w:line="360" w:lineRule="exact"/>
              <w:jc w:val="center"/>
              <w:rPr>
                <w:rFonts w:hint="eastAsia"/>
                <w:highlight w:val="none"/>
              </w:rPr>
            </w:pPr>
            <w:r>
              <w:rPr>
                <w:rFonts w:hint="eastAsia"/>
                <w:highlight w:val="none"/>
              </w:rPr>
              <w:t>重新招标</w:t>
            </w:r>
          </w:p>
        </w:tc>
        <w:tc>
          <w:tcPr>
            <w:tcW w:w="7138" w:type="dxa"/>
            <w:noWrap w:val="0"/>
            <w:vAlign w:val="center"/>
          </w:tcPr>
          <w:p w14:paraId="47FB65C5">
            <w:pPr>
              <w:shd w:val="clear"/>
              <w:spacing w:line="340" w:lineRule="exact"/>
              <w:rPr>
                <w:rFonts w:hint="eastAsia" w:cs="仿宋"/>
                <w:highlight w:val="none"/>
              </w:rPr>
            </w:pPr>
            <w:r>
              <w:rPr>
                <w:rFonts w:hint="eastAsia" w:cs="仿宋"/>
                <w:highlight w:val="none"/>
              </w:rPr>
              <w:t>有下列情形之一的，招标人将重新招标</w:t>
            </w:r>
          </w:p>
          <w:p w14:paraId="7DAAA237">
            <w:pPr>
              <w:shd w:val="clear"/>
              <w:spacing w:line="340" w:lineRule="exact"/>
              <w:rPr>
                <w:rFonts w:hint="eastAsia" w:cs="仿宋"/>
                <w:highlight w:val="none"/>
              </w:rPr>
            </w:pPr>
            <w:r>
              <w:rPr>
                <w:rFonts w:hint="eastAsia" w:cs="仿宋"/>
                <w:highlight w:val="none"/>
              </w:rPr>
              <w:t>1.截至到</w:t>
            </w:r>
            <w:r>
              <w:rPr>
                <w:rFonts w:hint="eastAsia"/>
                <w:highlight w:val="none"/>
              </w:rPr>
              <w:t>招标开始时间</w:t>
            </w:r>
            <w:r>
              <w:rPr>
                <w:rFonts w:hint="eastAsia" w:cs="仿宋"/>
                <w:highlight w:val="none"/>
              </w:rPr>
              <w:t>，提交投标文件的投标人少于3个的；</w:t>
            </w:r>
          </w:p>
          <w:p w14:paraId="17FA7695">
            <w:pPr>
              <w:shd w:val="clear"/>
              <w:spacing w:line="340" w:lineRule="exact"/>
              <w:rPr>
                <w:rFonts w:cs="仿宋"/>
                <w:highlight w:val="none"/>
              </w:rPr>
            </w:pPr>
            <w:r>
              <w:rPr>
                <w:rFonts w:hint="eastAsia" w:cs="仿宋"/>
                <w:highlight w:val="none"/>
              </w:rPr>
              <w:t>2.经评审委员会评审，否决部分投标人的投标文件后少于3个，缺乏竞争性的；</w:t>
            </w:r>
          </w:p>
          <w:p w14:paraId="3D8449BB">
            <w:pPr>
              <w:shd w:val="clear"/>
              <w:spacing w:line="340" w:lineRule="exact"/>
              <w:rPr>
                <w:highlight w:val="none"/>
              </w:rPr>
            </w:pPr>
            <w:r>
              <w:rPr>
                <w:rFonts w:hint="eastAsia" w:cs="仿宋"/>
                <w:highlight w:val="none"/>
              </w:rPr>
              <w:t>3.经评标委员会评标否决所有投标文件的。</w:t>
            </w:r>
          </w:p>
        </w:tc>
      </w:tr>
      <w:tr w14:paraId="0E85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32813FCA">
            <w:pPr>
              <w:shd w:val="clear"/>
              <w:jc w:val="center"/>
              <w:rPr>
                <w:highlight w:val="none"/>
              </w:rPr>
            </w:pPr>
            <w:r>
              <w:rPr>
                <w:rFonts w:hint="eastAsia"/>
                <w:highlight w:val="none"/>
              </w:rPr>
              <w:t>10.1</w:t>
            </w:r>
          </w:p>
        </w:tc>
        <w:tc>
          <w:tcPr>
            <w:tcW w:w="8811" w:type="dxa"/>
            <w:gridSpan w:val="3"/>
            <w:noWrap w:val="0"/>
            <w:vAlign w:val="center"/>
          </w:tcPr>
          <w:p w14:paraId="2892ECE9">
            <w:pPr>
              <w:shd w:val="clear"/>
              <w:spacing w:line="340" w:lineRule="exact"/>
              <w:rPr>
                <w:bCs/>
                <w:highlight w:val="none"/>
              </w:rPr>
            </w:pPr>
            <w:r>
              <w:rPr>
                <w:rFonts w:hint="eastAsia"/>
                <w:bCs/>
                <w:highlight w:val="none"/>
              </w:rPr>
              <w:t>在任何评标环节中，需评标委员会就某项定性的评标结论做出表决的，由评标委员会全体成员按照少数服从多数的原则，以记名投票方式表决。</w:t>
            </w:r>
          </w:p>
        </w:tc>
      </w:tr>
      <w:tr w14:paraId="0CBA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31DAFCFA">
            <w:pPr>
              <w:shd w:val="clear"/>
              <w:jc w:val="center"/>
              <w:rPr>
                <w:highlight w:val="none"/>
              </w:rPr>
            </w:pPr>
            <w:r>
              <w:rPr>
                <w:rFonts w:hint="eastAsia"/>
                <w:highlight w:val="none"/>
              </w:rPr>
              <w:t>10.2</w:t>
            </w:r>
          </w:p>
        </w:tc>
        <w:tc>
          <w:tcPr>
            <w:tcW w:w="8811" w:type="dxa"/>
            <w:gridSpan w:val="3"/>
            <w:noWrap w:val="0"/>
            <w:vAlign w:val="center"/>
          </w:tcPr>
          <w:p w14:paraId="2E1E5932">
            <w:pPr>
              <w:shd w:val="clear"/>
              <w:spacing w:line="340" w:lineRule="exact"/>
              <w:rPr>
                <w:highlight w:val="none"/>
              </w:rPr>
            </w:pPr>
            <w:r>
              <w:rPr>
                <w:rFonts w:hint="eastAsia"/>
                <w:highlight w:val="none"/>
              </w:rPr>
              <w:t>投标人认为招标文件中有限制、排斥投标人情形的，应当在招标开始时间2日前向招标人书面提出，未在规定时间内提出异议的，视为对招标文件无异议。</w:t>
            </w:r>
          </w:p>
        </w:tc>
      </w:tr>
      <w:tr w14:paraId="532E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4405C548">
            <w:pPr>
              <w:shd w:val="clear"/>
              <w:jc w:val="center"/>
              <w:rPr>
                <w:rFonts w:hint="default" w:eastAsia="宋体"/>
                <w:highlight w:val="none"/>
                <w:lang w:val="en-US" w:eastAsia="zh-CN"/>
              </w:rPr>
            </w:pPr>
            <w:r>
              <w:rPr>
                <w:rFonts w:hint="eastAsia"/>
                <w:highlight w:val="none"/>
                <w:lang w:val="en-US" w:eastAsia="zh-CN"/>
              </w:rPr>
              <w:t>11</w:t>
            </w:r>
          </w:p>
        </w:tc>
        <w:tc>
          <w:tcPr>
            <w:tcW w:w="8811" w:type="dxa"/>
            <w:gridSpan w:val="3"/>
            <w:noWrap w:val="0"/>
            <w:vAlign w:val="center"/>
          </w:tcPr>
          <w:p w14:paraId="4BD40438">
            <w:pPr>
              <w:numPr>
                <w:ilvl w:val="0"/>
                <w:numId w:val="0"/>
              </w:numPr>
              <w:shd w:val="clear"/>
              <w:spacing w:line="360" w:lineRule="auto"/>
              <w:rPr>
                <w:rFonts w:hint="eastAsia"/>
                <w:highlight w:val="none"/>
                <w:lang w:val="zh-CN" w:eastAsia="zh-CN"/>
              </w:rPr>
            </w:pPr>
            <w:r>
              <w:rPr>
                <w:rFonts w:hint="eastAsia" w:ascii="宋体" w:hAnsi="宋体" w:eastAsia="宋体" w:cs="宋体"/>
                <w:highlight w:val="none"/>
                <w:lang w:val="en-US" w:eastAsia="zh-CN"/>
              </w:rPr>
              <w:t>最高限价（元）：350000</w:t>
            </w:r>
            <w:r>
              <w:rPr>
                <w:rFonts w:hint="eastAsia" w:cs="宋体"/>
                <w:highlight w:val="none"/>
                <w:lang w:val="en-US" w:eastAsia="zh-CN"/>
              </w:rPr>
              <w:t>元</w:t>
            </w:r>
            <w:r>
              <w:rPr>
                <w:rFonts w:hint="eastAsia" w:ascii="宋体" w:hAnsi="宋体" w:eastAsia="宋体" w:cs="宋体"/>
                <w:highlight w:val="none"/>
                <w:lang w:val="en-US" w:eastAsia="zh-CN"/>
              </w:rPr>
              <w:t>（</w:t>
            </w:r>
            <w:r>
              <w:rPr>
                <w:rFonts w:hint="eastAsia" w:cs="宋体"/>
                <w:highlight w:val="none"/>
                <w:lang w:val="en-US" w:eastAsia="zh-CN"/>
              </w:rPr>
              <w:t>投标</w:t>
            </w:r>
            <w:r>
              <w:rPr>
                <w:rFonts w:hint="eastAsia" w:ascii="宋体" w:hAnsi="宋体" w:eastAsia="宋体" w:cs="宋体"/>
                <w:highlight w:val="none"/>
                <w:lang w:val="en-US" w:eastAsia="zh-CN"/>
              </w:rPr>
              <w:t>人投标报价超过最高限价的按无效投标处理）</w:t>
            </w:r>
          </w:p>
          <w:p w14:paraId="3D27B69F">
            <w:pPr>
              <w:shd w:val="clear"/>
              <w:spacing w:line="340" w:lineRule="exact"/>
              <w:rPr>
                <w:rFonts w:hint="eastAsia"/>
                <w:highlight w:val="none"/>
              </w:rPr>
            </w:pPr>
          </w:p>
        </w:tc>
      </w:tr>
    </w:tbl>
    <w:p w14:paraId="2886573B">
      <w:pPr>
        <w:shd w:val="clear"/>
        <w:rPr>
          <w:highlight w:val="none"/>
        </w:rPr>
      </w:pPr>
    </w:p>
    <w:p w14:paraId="540F6D74">
      <w:pPr>
        <w:pStyle w:val="45"/>
        <w:shd w:val="clear"/>
        <w:ind w:left="480" w:firstLine="480"/>
        <w:rPr>
          <w:highlight w:val="none"/>
        </w:rPr>
      </w:pPr>
    </w:p>
    <w:p w14:paraId="4CBD4800">
      <w:pPr>
        <w:pStyle w:val="57"/>
        <w:shd w:val="clear"/>
        <w:spacing w:before="156"/>
        <w:rPr>
          <w:rStyle w:val="96"/>
          <w:b/>
          <w:bCs w:val="0"/>
          <w:highlight w:val="none"/>
        </w:rPr>
      </w:pPr>
      <w:bookmarkStart w:id="22" w:name="_Toc312072226"/>
      <w:bookmarkStart w:id="23" w:name="_Toc269310918"/>
      <w:bookmarkStart w:id="24" w:name="_Toc446434287"/>
      <w:r>
        <w:rPr>
          <w:rFonts w:hint="eastAsia"/>
          <w:sz w:val="32"/>
          <w:szCs w:val="32"/>
          <w:highlight w:val="none"/>
        </w:rPr>
        <w:br w:type="page"/>
      </w:r>
      <w:r>
        <w:rPr>
          <w:rFonts w:hint="eastAsia"/>
          <w:sz w:val="32"/>
          <w:szCs w:val="32"/>
          <w:highlight w:val="none"/>
        </w:rPr>
        <w:t>招标须知</w:t>
      </w:r>
      <w:bookmarkEnd w:id="22"/>
      <w:bookmarkEnd w:id="23"/>
      <w:r>
        <w:rPr>
          <w:rFonts w:hint="eastAsia"/>
          <w:sz w:val="32"/>
          <w:szCs w:val="32"/>
          <w:highlight w:val="none"/>
        </w:rPr>
        <w:t>正文部分</w:t>
      </w:r>
      <w:bookmarkEnd w:id="24"/>
    </w:p>
    <w:p w14:paraId="756FA211">
      <w:pPr>
        <w:pStyle w:val="64"/>
        <w:shd w:val="clear"/>
        <w:rPr>
          <w:rStyle w:val="96"/>
          <w:b/>
          <w:bCs/>
          <w:highlight w:val="none"/>
        </w:rPr>
      </w:pPr>
      <w:bookmarkStart w:id="25" w:name="_Toc507936013"/>
      <w:bookmarkStart w:id="26" w:name="_Toc506105818"/>
      <w:r>
        <w:rPr>
          <w:rStyle w:val="96"/>
          <w:rFonts w:hint="eastAsia"/>
          <w:b/>
          <w:bCs w:val="0"/>
          <w:highlight w:val="none"/>
        </w:rPr>
        <w:t>1.总则</w:t>
      </w:r>
      <w:bookmarkEnd w:id="25"/>
      <w:bookmarkEnd w:id="26"/>
    </w:p>
    <w:p w14:paraId="4BE7002E">
      <w:pPr>
        <w:pStyle w:val="59"/>
        <w:shd w:val="clear"/>
        <w:rPr>
          <w:highlight w:val="none"/>
        </w:rPr>
      </w:pPr>
      <w:bookmarkStart w:id="27" w:name="_Toc507936014"/>
      <w:bookmarkStart w:id="28" w:name="_Toc506105819"/>
      <w:r>
        <w:rPr>
          <w:rFonts w:hint="eastAsia"/>
          <w:highlight w:val="none"/>
        </w:rPr>
        <w:t>1.1 项目概况</w:t>
      </w:r>
      <w:bookmarkEnd w:id="27"/>
      <w:bookmarkEnd w:id="28"/>
    </w:p>
    <w:p w14:paraId="2BE7B66E">
      <w:pPr>
        <w:shd w:val="clear"/>
        <w:spacing w:line="360" w:lineRule="auto"/>
        <w:ind w:firstLine="480" w:firstLineChars="200"/>
        <w:rPr>
          <w:rFonts w:cs="仿宋"/>
          <w:highlight w:val="none"/>
        </w:rPr>
      </w:pPr>
      <w:r>
        <w:rPr>
          <w:rFonts w:hint="eastAsia" w:cs="仿宋"/>
          <w:highlight w:val="none"/>
        </w:rPr>
        <w:t>根据《中华人民共和国招标投标法》、《中华人民共和国招标投标法实施条例》等有关法律、法规和规章的规定，本项目已具备公开招标条件。</w:t>
      </w:r>
    </w:p>
    <w:p w14:paraId="620CEE06">
      <w:pPr>
        <w:pStyle w:val="61"/>
        <w:keepNext w:val="0"/>
        <w:keepLines w:val="0"/>
        <w:shd w:val="clear"/>
        <w:spacing w:before="0" w:line="360" w:lineRule="auto"/>
        <w:ind w:firstLine="480" w:firstLineChars="200"/>
        <w:rPr>
          <w:szCs w:val="28"/>
          <w:highlight w:val="none"/>
        </w:rPr>
      </w:pPr>
      <w:r>
        <w:rPr>
          <w:rFonts w:hint="eastAsia" w:ascii="宋体" w:hAnsi="宋体" w:cs="仿宋"/>
          <w:sz w:val="24"/>
          <w:highlight w:val="none"/>
        </w:rPr>
        <w:t xml:space="preserve">1.1.1 </w:t>
      </w:r>
      <w:r>
        <w:rPr>
          <w:rFonts w:hint="eastAsia" w:ascii="宋体" w:hAnsi="宋体" w:eastAsia="宋体" w:cs="仿宋"/>
          <w:kern w:val="2"/>
          <w:sz w:val="24"/>
          <w:szCs w:val="24"/>
          <w:highlight w:val="none"/>
        </w:rPr>
        <w:t>招标人：</w:t>
      </w:r>
      <w:r>
        <w:rPr>
          <w:rFonts w:hint="eastAsia" w:ascii="宋体" w:hAnsi="宋体" w:eastAsia="宋体" w:cs="仿宋"/>
          <w:sz w:val="24"/>
          <w:szCs w:val="24"/>
          <w:highlight w:val="none"/>
        </w:rPr>
        <w:t>详见投标人须知前附表</w:t>
      </w:r>
    </w:p>
    <w:p w14:paraId="0FE5D900">
      <w:pPr>
        <w:shd w:val="clear"/>
        <w:spacing w:line="360" w:lineRule="auto"/>
        <w:ind w:firstLine="480" w:firstLineChars="200"/>
        <w:rPr>
          <w:rFonts w:hint="eastAsia" w:cs="仿宋"/>
          <w:highlight w:val="none"/>
        </w:rPr>
      </w:pPr>
      <w:r>
        <w:rPr>
          <w:rFonts w:hint="eastAsia" w:cs="仿宋"/>
          <w:highlight w:val="none"/>
        </w:rPr>
        <w:t>1.1.2 招标项目名称：详见投标人须知前附表</w:t>
      </w:r>
    </w:p>
    <w:p w14:paraId="0EC1EC09">
      <w:pPr>
        <w:shd w:val="clear"/>
        <w:spacing w:line="360" w:lineRule="auto"/>
        <w:ind w:firstLine="480" w:firstLineChars="200"/>
        <w:rPr>
          <w:rFonts w:cs="仿宋"/>
          <w:highlight w:val="none"/>
        </w:rPr>
      </w:pPr>
      <w:r>
        <w:rPr>
          <w:rFonts w:hint="eastAsia" w:cs="仿宋"/>
          <w:highlight w:val="none"/>
        </w:rPr>
        <w:t>1.1.3项目概况: 详见投标人须知前附表</w:t>
      </w:r>
    </w:p>
    <w:p w14:paraId="2E8737FF">
      <w:pPr>
        <w:shd w:val="clear"/>
        <w:spacing w:line="360" w:lineRule="auto"/>
        <w:ind w:firstLine="480" w:firstLineChars="200"/>
        <w:rPr>
          <w:rFonts w:cs="仿宋"/>
          <w:highlight w:val="none"/>
        </w:rPr>
      </w:pPr>
      <w:r>
        <w:rPr>
          <w:rFonts w:hint="eastAsia" w:cs="仿宋"/>
          <w:highlight w:val="none"/>
        </w:rPr>
        <w:t>1.1.4 项目地点：详见投标人须知前附表</w:t>
      </w:r>
    </w:p>
    <w:p w14:paraId="765447A6">
      <w:pPr>
        <w:pStyle w:val="59"/>
        <w:shd w:val="clear"/>
        <w:rPr>
          <w:highlight w:val="none"/>
        </w:rPr>
      </w:pPr>
      <w:bookmarkStart w:id="29" w:name="_Toc247527555"/>
      <w:bookmarkStart w:id="30" w:name="_Toc247513954"/>
      <w:bookmarkStart w:id="31" w:name="_Toc27657"/>
      <w:bookmarkStart w:id="32" w:name="_Toc506105820"/>
      <w:bookmarkStart w:id="33" w:name="_Toc328559028"/>
      <w:bookmarkStart w:id="34" w:name="_Toc300834951"/>
      <w:bookmarkStart w:id="35" w:name="_Toc25497"/>
      <w:bookmarkStart w:id="36" w:name="_Toc507936015"/>
      <w:r>
        <w:rPr>
          <w:rFonts w:hint="eastAsia"/>
          <w:highlight w:val="none"/>
        </w:rPr>
        <w:t>1.2 项目资金来源</w:t>
      </w:r>
      <w:bookmarkEnd w:id="29"/>
      <w:bookmarkEnd w:id="30"/>
      <w:bookmarkEnd w:id="31"/>
      <w:bookmarkEnd w:id="32"/>
      <w:bookmarkEnd w:id="33"/>
      <w:bookmarkEnd w:id="34"/>
      <w:bookmarkEnd w:id="35"/>
      <w:r>
        <w:rPr>
          <w:rFonts w:hint="eastAsia"/>
          <w:highlight w:val="none"/>
        </w:rPr>
        <w:t>、招标方式、招标控价</w:t>
      </w:r>
      <w:bookmarkEnd w:id="36"/>
    </w:p>
    <w:p w14:paraId="572946E5">
      <w:pPr>
        <w:shd w:val="clear"/>
        <w:spacing w:line="360" w:lineRule="auto"/>
        <w:ind w:firstLine="480" w:firstLineChars="200"/>
        <w:rPr>
          <w:rFonts w:hint="eastAsia" w:cs="仿宋"/>
          <w:highlight w:val="none"/>
        </w:rPr>
      </w:pPr>
      <w:r>
        <w:rPr>
          <w:rFonts w:hint="eastAsia" w:cs="仿宋"/>
          <w:highlight w:val="none"/>
        </w:rPr>
        <w:t>1.2.1 项目资金来源：</w:t>
      </w:r>
      <w:bookmarkStart w:id="37" w:name="_Toc300834952"/>
      <w:bookmarkStart w:id="38" w:name="_Toc328559029"/>
      <w:bookmarkStart w:id="39" w:name="_Toc247527556"/>
      <w:bookmarkStart w:id="40" w:name="_Toc30612"/>
      <w:bookmarkStart w:id="41" w:name="_Toc247513955"/>
      <w:bookmarkStart w:id="42" w:name="_Toc16572"/>
      <w:r>
        <w:rPr>
          <w:rFonts w:hint="eastAsia" w:cs="仿宋"/>
          <w:highlight w:val="none"/>
        </w:rPr>
        <w:t>详见投标人须知前附表</w:t>
      </w:r>
    </w:p>
    <w:p w14:paraId="6A5910DC">
      <w:pPr>
        <w:shd w:val="clear"/>
        <w:spacing w:line="360" w:lineRule="auto"/>
        <w:ind w:firstLine="480" w:firstLineChars="200"/>
        <w:rPr>
          <w:rFonts w:hint="eastAsia" w:cs="仿宋"/>
          <w:highlight w:val="none"/>
        </w:rPr>
      </w:pPr>
      <w:r>
        <w:rPr>
          <w:rFonts w:hint="eastAsia" w:cs="仿宋"/>
          <w:highlight w:val="none"/>
        </w:rPr>
        <w:t>1.2.2招标方式：详见投标人须知前附表</w:t>
      </w:r>
    </w:p>
    <w:p w14:paraId="5514DBAA">
      <w:pPr>
        <w:pStyle w:val="45"/>
        <w:shd w:val="clear"/>
        <w:ind w:left="0" w:leftChars="0" w:firstLine="480"/>
        <w:rPr>
          <w:rFonts w:hint="eastAsia"/>
          <w:highlight w:val="none"/>
        </w:rPr>
      </w:pPr>
      <w:r>
        <w:rPr>
          <w:rFonts w:hint="eastAsia" w:ascii="宋体" w:hAnsi="宋体" w:cs="仿宋"/>
          <w:highlight w:val="none"/>
        </w:rPr>
        <w:t>1.2.3</w:t>
      </w:r>
      <w:r>
        <w:rPr>
          <w:rFonts w:hint="eastAsia"/>
          <w:highlight w:val="none"/>
        </w:rPr>
        <w:t>招标控价：</w:t>
      </w:r>
      <w:r>
        <w:rPr>
          <w:rFonts w:hint="eastAsia" w:ascii="宋体" w:hAnsi="宋体" w:cs="仿宋"/>
          <w:highlight w:val="none"/>
        </w:rPr>
        <w:t>详见</w:t>
      </w:r>
      <w:r>
        <w:rPr>
          <w:rFonts w:hint="eastAsia" w:cs="仿宋"/>
          <w:highlight w:val="none"/>
        </w:rPr>
        <w:t>投标人须知前附表</w:t>
      </w:r>
    </w:p>
    <w:p w14:paraId="782B710D">
      <w:pPr>
        <w:pStyle w:val="59"/>
        <w:shd w:val="clear"/>
        <w:rPr>
          <w:highlight w:val="none"/>
        </w:rPr>
      </w:pPr>
      <w:bookmarkStart w:id="43" w:name="_Toc506105821"/>
      <w:bookmarkStart w:id="44" w:name="_Toc507936016"/>
      <w:r>
        <w:rPr>
          <w:rFonts w:hint="eastAsia"/>
          <w:highlight w:val="none"/>
        </w:rPr>
        <w:t>1.3 招标范围、供货周期、</w:t>
      </w:r>
      <w:bookmarkEnd w:id="37"/>
      <w:bookmarkEnd w:id="38"/>
      <w:bookmarkEnd w:id="39"/>
      <w:bookmarkEnd w:id="40"/>
      <w:bookmarkEnd w:id="41"/>
      <w:bookmarkEnd w:id="42"/>
      <w:bookmarkEnd w:id="43"/>
      <w:r>
        <w:rPr>
          <w:rFonts w:hint="eastAsia"/>
          <w:highlight w:val="none"/>
        </w:rPr>
        <w:t>交货地点和质保期</w:t>
      </w:r>
      <w:bookmarkEnd w:id="44"/>
    </w:p>
    <w:p w14:paraId="4B6DE3D3">
      <w:pPr>
        <w:shd w:val="clear"/>
        <w:tabs>
          <w:tab w:val="left" w:pos="220"/>
        </w:tabs>
        <w:snapToGrid w:val="0"/>
        <w:spacing w:line="360" w:lineRule="auto"/>
        <w:ind w:firstLine="480" w:firstLineChars="200"/>
        <w:rPr>
          <w:rFonts w:cs="仿宋"/>
          <w:highlight w:val="none"/>
        </w:rPr>
      </w:pPr>
      <w:r>
        <w:rPr>
          <w:rFonts w:hint="eastAsia" w:cs="仿宋"/>
          <w:highlight w:val="none"/>
        </w:rPr>
        <w:t>1.3.1 招标范围：详见投标人须知前附表</w:t>
      </w:r>
    </w:p>
    <w:p w14:paraId="7BFEFDC1">
      <w:pPr>
        <w:shd w:val="clear"/>
        <w:spacing w:line="360" w:lineRule="auto"/>
        <w:ind w:firstLine="480" w:firstLineChars="200"/>
        <w:rPr>
          <w:rFonts w:hint="eastAsia" w:cs="仿宋"/>
          <w:highlight w:val="none"/>
        </w:rPr>
      </w:pPr>
      <w:r>
        <w:rPr>
          <w:rFonts w:hint="eastAsia" w:cs="仿宋"/>
          <w:highlight w:val="none"/>
        </w:rPr>
        <w:t>1.3.2 供货周期：详见投标人须知前附表</w:t>
      </w:r>
    </w:p>
    <w:p w14:paraId="6D851B6B">
      <w:pPr>
        <w:shd w:val="clear"/>
        <w:spacing w:line="360" w:lineRule="auto"/>
        <w:ind w:firstLine="480" w:firstLineChars="200"/>
        <w:rPr>
          <w:rFonts w:hint="eastAsia" w:cs="仿宋"/>
          <w:highlight w:val="none"/>
        </w:rPr>
      </w:pPr>
      <w:r>
        <w:rPr>
          <w:rFonts w:hint="eastAsia" w:cs="仿宋"/>
          <w:highlight w:val="none"/>
        </w:rPr>
        <w:t>1.3.3 交货地点：详见投标人须知前附表</w:t>
      </w:r>
    </w:p>
    <w:p w14:paraId="7E2DE44A">
      <w:pPr>
        <w:shd w:val="clear"/>
        <w:spacing w:line="360" w:lineRule="auto"/>
        <w:ind w:firstLine="480" w:firstLineChars="200"/>
        <w:rPr>
          <w:rFonts w:cs="仿宋"/>
          <w:highlight w:val="none"/>
        </w:rPr>
      </w:pPr>
      <w:r>
        <w:rPr>
          <w:rFonts w:hint="eastAsia" w:cs="仿宋"/>
          <w:highlight w:val="none"/>
        </w:rPr>
        <w:t>1.3.4质保期：详见投标人须知前附表</w:t>
      </w:r>
    </w:p>
    <w:p w14:paraId="7735DB4A">
      <w:pPr>
        <w:pStyle w:val="59"/>
        <w:shd w:val="clear"/>
        <w:rPr>
          <w:highlight w:val="none"/>
        </w:rPr>
      </w:pPr>
      <w:bookmarkStart w:id="45" w:name="_Toc506105822"/>
      <w:bookmarkStart w:id="46" w:name="_Toc507936017"/>
      <w:r>
        <w:rPr>
          <w:rFonts w:hint="eastAsia"/>
          <w:highlight w:val="none"/>
        </w:rPr>
        <w:t>1.4 投标人资格要求</w:t>
      </w:r>
      <w:bookmarkEnd w:id="45"/>
      <w:bookmarkEnd w:id="46"/>
    </w:p>
    <w:p w14:paraId="16E01A2D">
      <w:pPr>
        <w:shd w:val="clear"/>
        <w:ind w:firstLine="480" w:firstLineChars="200"/>
        <w:rPr>
          <w:rFonts w:cs="仿宋"/>
          <w:highlight w:val="none"/>
        </w:rPr>
      </w:pPr>
      <w:r>
        <w:rPr>
          <w:rFonts w:hint="eastAsia" w:cs="仿宋"/>
          <w:highlight w:val="none"/>
        </w:rPr>
        <w:t xml:space="preserve">1.4.1 </w:t>
      </w:r>
      <w:r>
        <w:rPr>
          <w:rFonts w:hint="eastAsia"/>
          <w:highlight w:val="none"/>
        </w:rPr>
        <w:t>投标人</w:t>
      </w:r>
      <w:r>
        <w:rPr>
          <w:rFonts w:hint="eastAsia" w:cs="仿宋"/>
          <w:highlight w:val="none"/>
        </w:rPr>
        <w:t>资格要求：详见投标人须知前附表</w:t>
      </w:r>
    </w:p>
    <w:p w14:paraId="6EF76A7E">
      <w:pPr>
        <w:shd w:val="clear"/>
        <w:spacing w:line="360" w:lineRule="auto"/>
        <w:ind w:firstLine="480" w:firstLineChars="200"/>
        <w:rPr>
          <w:rFonts w:hint="eastAsia" w:cs="仿宋"/>
          <w:highlight w:val="none"/>
        </w:rPr>
      </w:pPr>
      <w:r>
        <w:rPr>
          <w:rFonts w:hint="eastAsia" w:cs="仿宋"/>
          <w:highlight w:val="none"/>
        </w:rPr>
        <w:t>1.4.2 本次招标不接受联合体。</w:t>
      </w:r>
    </w:p>
    <w:p w14:paraId="114B8799">
      <w:pPr>
        <w:shd w:val="clear"/>
        <w:tabs>
          <w:tab w:val="left" w:pos="220"/>
        </w:tabs>
        <w:snapToGrid w:val="0"/>
        <w:spacing w:line="360" w:lineRule="auto"/>
        <w:ind w:firstLine="480" w:firstLineChars="200"/>
        <w:rPr>
          <w:rFonts w:hint="eastAsia" w:cs="仿宋"/>
          <w:highlight w:val="none"/>
        </w:rPr>
      </w:pPr>
      <w:r>
        <w:rPr>
          <w:rFonts w:hint="eastAsia" w:cs="仿宋"/>
          <w:highlight w:val="none"/>
        </w:rPr>
        <w:t>1.4.3投标人不得存在下列情形之一：</w:t>
      </w:r>
    </w:p>
    <w:p w14:paraId="6D2D2386">
      <w:pPr>
        <w:shd w:val="clear"/>
        <w:tabs>
          <w:tab w:val="left" w:pos="220"/>
        </w:tabs>
        <w:snapToGrid w:val="0"/>
        <w:spacing w:line="360" w:lineRule="auto"/>
        <w:ind w:firstLine="480" w:firstLineChars="200"/>
        <w:rPr>
          <w:rFonts w:hint="eastAsia" w:cs="仿宋"/>
          <w:highlight w:val="none"/>
        </w:rPr>
      </w:pPr>
      <w:r>
        <w:rPr>
          <w:rFonts w:hint="eastAsia" w:cs="仿宋"/>
          <w:highlight w:val="none"/>
        </w:rPr>
        <w:t>（1）与招标人存在利害关系且可能影响招标公正性；</w:t>
      </w:r>
    </w:p>
    <w:p w14:paraId="422E0EEF">
      <w:pPr>
        <w:shd w:val="clear"/>
        <w:tabs>
          <w:tab w:val="left" w:pos="220"/>
        </w:tabs>
        <w:snapToGrid w:val="0"/>
        <w:spacing w:line="360" w:lineRule="auto"/>
        <w:ind w:firstLine="480" w:firstLineChars="200"/>
        <w:rPr>
          <w:rFonts w:hint="eastAsia" w:cs="仿宋"/>
          <w:highlight w:val="none"/>
        </w:rPr>
      </w:pPr>
      <w:r>
        <w:rPr>
          <w:rFonts w:hint="eastAsia" w:cs="仿宋"/>
          <w:highlight w:val="none"/>
        </w:rPr>
        <w:t>（2）与本招标项目的其他投标人为同一个单位负责人；</w:t>
      </w:r>
    </w:p>
    <w:p w14:paraId="74E2CE24">
      <w:pPr>
        <w:shd w:val="clear"/>
        <w:tabs>
          <w:tab w:val="left" w:pos="220"/>
        </w:tabs>
        <w:snapToGrid w:val="0"/>
        <w:spacing w:line="360" w:lineRule="auto"/>
        <w:ind w:firstLine="480" w:firstLineChars="200"/>
        <w:rPr>
          <w:rFonts w:hint="eastAsia" w:cs="仿宋"/>
          <w:highlight w:val="none"/>
        </w:rPr>
      </w:pPr>
      <w:r>
        <w:rPr>
          <w:rFonts w:hint="eastAsia" w:cs="仿宋"/>
          <w:highlight w:val="none"/>
        </w:rPr>
        <w:t>（3）与本招标项目的其他投标人存在控股、管理关系；</w:t>
      </w:r>
    </w:p>
    <w:p w14:paraId="519F658B">
      <w:pPr>
        <w:shd w:val="clear"/>
        <w:tabs>
          <w:tab w:val="left" w:pos="220"/>
        </w:tabs>
        <w:snapToGrid w:val="0"/>
        <w:spacing w:line="360" w:lineRule="auto"/>
        <w:ind w:firstLine="480" w:firstLineChars="200"/>
        <w:rPr>
          <w:rFonts w:hint="eastAsia" w:cs="仿宋"/>
          <w:highlight w:val="none"/>
        </w:rPr>
      </w:pPr>
      <w:r>
        <w:rPr>
          <w:rFonts w:hint="eastAsia" w:cs="仿宋"/>
          <w:highlight w:val="none"/>
        </w:rPr>
        <w:t>（4）与本招标项目其他投标人代理同一个制造商同一品牌同一型号的设备投标；</w:t>
      </w:r>
    </w:p>
    <w:p w14:paraId="48576199">
      <w:pPr>
        <w:shd w:val="clear"/>
        <w:tabs>
          <w:tab w:val="left" w:pos="220"/>
        </w:tabs>
        <w:snapToGrid w:val="0"/>
        <w:spacing w:line="360" w:lineRule="auto"/>
        <w:ind w:firstLine="480" w:firstLineChars="200"/>
        <w:rPr>
          <w:rFonts w:hint="eastAsia" w:cs="仿宋"/>
          <w:highlight w:val="none"/>
        </w:rPr>
      </w:pPr>
      <w:r>
        <w:rPr>
          <w:rFonts w:hint="eastAsia" w:cs="仿宋"/>
          <w:highlight w:val="none"/>
        </w:rPr>
        <w:t>（5）为本招标项目提供过设计、编制技术规范和其他文件的咨询服务；</w:t>
      </w:r>
    </w:p>
    <w:p w14:paraId="5B37AE7A">
      <w:pPr>
        <w:shd w:val="clear"/>
        <w:tabs>
          <w:tab w:val="left" w:pos="220"/>
        </w:tabs>
        <w:snapToGrid w:val="0"/>
        <w:spacing w:line="360" w:lineRule="auto"/>
        <w:ind w:firstLine="480" w:firstLineChars="200"/>
        <w:rPr>
          <w:rFonts w:hint="eastAsia" w:cs="仿宋"/>
          <w:highlight w:val="none"/>
        </w:rPr>
      </w:pPr>
      <w:r>
        <w:rPr>
          <w:rFonts w:hint="eastAsia" w:cs="仿宋"/>
          <w:highlight w:val="none"/>
        </w:rPr>
        <w:t>（6）为本工程项目的相关监理人，或者与本工程项目的相关监理人存在隶属关系或者其他 利害关系；</w:t>
      </w:r>
    </w:p>
    <w:p w14:paraId="4C268759">
      <w:pPr>
        <w:shd w:val="clear"/>
        <w:tabs>
          <w:tab w:val="left" w:pos="220"/>
        </w:tabs>
        <w:snapToGrid w:val="0"/>
        <w:spacing w:line="360" w:lineRule="auto"/>
        <w:ind w:firstLine="480" w:firstLineChars="200"/>
        <w:rPr>
          <w:rFonts w:hint="eastAsia" w:cs="仿宋"/>
          <w:highlight w:val="none"/>
        </w:rPr>
      </w:pPr>
      <w:r>
        <w:rPr>
          <w:rFonts w:hint="eastAsia" w:cs="仿宋"/>
          <w:highlight w:val="none"/>
        </w:rPr>
        <w:t>（7）为本招标项目的代建人；</w:t>
      </w:r>
    </w:p>
    <w:p w14:paraId="64C37D68">
      <w:pPr>
        <w:shd w:val="clear"/>
        <w:tabs>
          <w:tab w:val="left" w:pos="220"/>
        </w:tabs>
        <w:snapToGrid w:val="0"/>
        <w:spacing w:line="360" w:lineRule="auto"/>
        <w:ind w:firstLine="480" w:firstLineChars="200"/>
        <w:rPr>
          <w:rFonts w:hint="eastAsia" w:cs="仿宋"/>
          <w:highlight w:val="none"/>
        </w:rPr>
      </w:pPr>
      <w:r>
        <w:rPr>
          <w:rFonts w:hint="eastAsia" w:cs="仿宋"/>
          <w:highlight w:val="none"/>
        </w:rPr>
        <w:t>（8）为本招标项目的招标代理机构；</w:t>
      </w:r>
    </w:p>
    <w:p w14:paraId="1CAD345F">
      <w:pPr>
        <w:shd w:val="clear"/>
        <w:tabs>
          <w:tab w:val="left" w:pos="220"/>
        </w:tabs>
        <w:snapToGrid w:val="0"/>
        <w:spacing w:line="360" w:lineRule="auto"/>
        <w:ind w:firstLine="480" w:firstLineChars="200"/>
        <w:rPr>
          <w:rFonts w:hint="eastAsia" w:cs="仿宋"/>
          <w:highlight w:val="none"/>
        </w:rPr>
      </w:pPr>
      <w:r>
        <w:rPr>
          <w:rFonts w:hint="eastAsia" w:cs="仿宋"/>
          <w:highlight w:val="none"/>
        </w:rPr>
        <w:t>（9）与本招标项目的监理人或代建人或招标代理机构同为一个法定代表人；</w:t>
      </w:r>
    </w:p>
    <w:p w14:paraId="358A68B7">
      <w:pPr>
        <w:shd w:val="clear"/>
        <w:tabs>
          <w:tab w:val="left" w:pos="220"/>
        </w:tabs>
        <w:snapToGrid w:val="0"/>
        <w:spacing w:line="360" w:lineRule="auto"/>
        <w:ind w:firstLine="480" w:firstLineChars="200"/>
        <w:rPr>
          <w:rFonts w:hint="eastAsia" w:cs="仿宋"/>
          <w:highlight w:val="none"/>
        </w:rPr>
      </w:pPr>
      <w:r>
        <w:rPr>
          <w:rFonts w:hint="eastAsia" w:cs="仿宋"/>
          <w:highlight w:val="none"/>
        </w:rPr>
        <w:t>（10）与本招标项目的监理人或代建人或招标代理机构存在控股或参股关系；</w:t>
      </w:r>
    </w:p>
    <w:p w14:paraId="46919B8C">
      <w:pPr>
        <w:shd w:val="clear"/>
        <w:tabs>
          <w:tab w:val="left" w:pos="220"/>
        </w:tabs>
        <w:snapToGrid w:val="0"/>
        <w:spacing w:line="360" w:lineRule="auto"/>
        <w:ind w:firstLine="480" w:firstLineChars="200"/>
        <w:rPr>
          <w:rFonts w:hint="eastAsia" w:cs="仿宋"/>
          <w:highlight w:val="none"/>
        </w:rPr>
      </w:pPr>
      <w:r>
        <w:rPr>
          <w:rFonts w:hint="eastAsia" w:cs="仿宋"/>
          <w:highlight w:val="none"/>
        </w:rPr>
        <w:t>（11）被依法暂停或者取消投标资格；</w:t>
      </w:r>
    </w:p>
    <w:p w14:paraId="6C5AC78B">
      <w:pPr>
        <w:shd w:val="clear"/>
        <w:tabs>
          <w:tab w:val="left" w:pos="220"/>
        </w:tabs>
        <w:snapToGrid w:val="0"/>
        <w:spacing w:line="360" w:lineRule="auto"/>
        <w:ind w:firstLine="480" w:firstLineChars="200"/>
        <w:rPr>
          <w:rFonts w:hint="eastAsia" w:cs="仿宋"/>
          <w:highlight w:val="none"/>
        </w:rPr>
      </w:pPr>
      <w:r>
        <w:rPr>
          <w:rFonts w:hint="eastAsia" w:cs="仿宋"/>
          <w:highlight w:val="none"/>
        </w:rPr>
        <w:t>（12）被责令停产停业、暂扣或者吊销许可证、暂扣或者吊销执照；</w:t>
      </w:r>
    </w:p>
    <w:p w14:paraId="1823FB7B">
      <w:pPr>
        <w:shd w:val="clear"/>
        <w:tabs>
          <w:tab w:val="left" w:pos="220"/>
        </w:tabs>
        <w:snapToGrid w:val="0"/>
        <w:spacing w:line="360" w:lineRule="auto"/>
        <w:ind w:firstLine="480" w:firstLineChars="200"/>
        <w:rPr>
          <w:rFonts w:hint="eastAsia" w:cs="仿宋"/>
          <w:highlight w:val="none"/>
        </w:rPr>
      </w:pPr>
      <w:r>
        <w:rPr>
          <w:rFonts w:hint="eastAsia" w:cs="仿宋"/>
          <w:highlight w:val="none"/>
        </w:rPr>
        <w:t>（13）进入清算程序，或被宣告破产，或其他丧失履约能力的情形；</w:t>
      </w:r>
    </w:p>
    <w:p w14:paraId="2C0BC03A">
      <w:pPr>
        <w:shd w:val="clear"/>
        <w:tabs>
          <w:tab w:val="left" w:pos="220"/>
        </w:tabs>
        <w:snapToGrid w:val="0"/>
        <w:spacing w:line="360" w:lineRule="auto"/>
        <w:ind w:firstLine="480" w:firstLineChars="200"/>
        <w:rPr>
          <w:rFonts w:hint="eastAsia" w:cs="仿宋"/>
          <w:highlight w:val="none"/>
        </w:rPr>
      </w:pPr>
      <w:r>
        <w:rPr>
          <w:rFonts w:hint="eastAsia" w:cs="仿宋"/>
          <w:highlight w:val="none"/>
        </w:rPr>
        <w:t>（14）在最近三年内发生重大产品质量问题（以相关行业主管部门的行政处罚决定或司法 机关出具的有关法律文书为准）；</w:t>
      </w:r>
    </w:p>
    <w:p w14:paraId="7CB18A4F">
      <w:pPr>
        <w:shd w:val="clear"/>
        <w:tabs>
          <w:tab w:val="left" w:pos="220"/>
        </w:tabs>
        <w:snapToGrid w:val="0"/>
        <w:spacing w:line="360" w:lineRule="auto"/>
        <w:ind w:firstLine="480" w:firstLineChars="200"/>
        <w:rPr>
          <w:rFonts w:hint="eastAsia" w:cs="仿宋"/>
          <w:highlight w:val="none"/>
        </w:rPr>
      </w:pPr>
      <w:r>
        <w:rPr>
          <w:rFonts w:hint="eastAsia" w:cs="仿宋"/>
          <w:highlight w:val="none"/>
        </w:rPr>
        <w:t>（15）被工商行政管理机关在全国企业信用信息公示系统中列入严重违法失信企业名单；</w:t>
      </w:r>
    </w:p>
    <w:p w14:paraId="0EC2DC74">
      <w:pPr>
        <w:shd w:val="clear"/>
        <w:tabs>
          <w:tab w:val="left" w:pos="220"/>
        </w:tabs>
        <w:snapToGrid w:val="0"/>
        <w:spacing w:line="360" w:lineRule="auto"/>
        <w:ind w:firstLine="480" w:firstLineChars="200"/>
        <w:rPr>
          <w:rFonts w:hint="eastAsia" w:cs="仿宋"/>
          <w:highlight w:val="none"/>
        </w:rPr>
      </w:pPr>
      <w:r>
        <w:rPr>
          <w:rFonts w:hint="eastAsia" w:cs="仿宋"/>
          <w:highlight w:val="none"/>
        </w:rPr>
        <w:t>（16）被最高人民法院在“信用中国”网站（www.creditchina.gov.cn)或各级信用信息共享平台中列入失信被执行人名单；</w:t>
      </w:r>
    </w:p>
    <w:p w14:paraId="1FA99FFC">
      <w:pPr>
        <w:shd w:val="clear"/>
        <w:tabs>
          <w:tab w:val="left" w:pos="220"/>
        </w:tabs>
        <w:snapToGrid w:val="0"/>
        <w:spacing w:line="360" w:lineRule="auto"/>
        <w:ind w:firstLine="480" w:firstLineChars="200"/>
        <w:rPr>
          <w:rFonts w:hint="eastAsia" w:cs="仿宋"/>
          <w:highlight w:val="none"/>
        </w:rPr>
      </w:pPr>
      <w:r>
        <w:rPr>
          <w:rFonts w:hint="eastAsia" w:cs="仿宋"/>
          <w:highlight w:val="none"/>
        </w:rPr>
        <w:t>（17）在近三年内投标人或其法定代表人、拟委任的项目负责人有行贿犯罪行为的（以检察机关职务犯罪预防部门出具的查询结果为准）；</w:t>
      </w:r>
    </w:p>
    <w:p w14:paraId="4B8EEA2A">
      <w:pPr>
        <w:shd w:val="clear"/>
        <w:tabs>
          <w:tab w:val="left" w:pos="220"/>
        </w:tabs>
        <w:snapToGrid w:val="0"/>
        <w:spacing w:line="360" w:lineRule="auto"/>
        <w:ind w:firstLine="480" w:firstLineChars="200"/>
        <w:rPr>
          <w:rFonts w:hint="eastAsia" w:cs="仿宋"/>
          <w:highlight w:val="none"/>
        </w:rPr>
      </w:pPr>
      <w:r>
        <w:rPr>
          <w:rFonts w:hint="eastAsia" w:cs="仿宋"/>
          <w:highlight w:val="none"/>
        </w:rPr>
        <w:t>（18）法律法规或投标人须知前附表规定的其他情形。</w:t>
      </w:r>
    </w:p>
    <w:p w14:paraId="1FBBADFE">
      <w:pPr>
        <w:pStyle w:val="59"/>
        <w:shd w:val="clear"/>
        <w:rPr>
          <w:highlight w:val="none"/>
        </w:rPr>
      </w:pPr>
      <w:bookmarkStart w:id="47" w:name="_Toc506105823"/>
      <w:bookmarkStart w:id="48" w:name="_Toc507936018"/>
      <w:r>
        <w:rPr>
          <w:rFonts w:hint="eastAsia"/>
          <w:highlight w:val="none"/>
        </w:rPr>
        <w:t>1.5 费用承担</w:t>
      </w:r>
      <w:bookmarkEnd w:id="47"/>
      <w:bookmarkEnd w:id="48"/>
    </w:p>
    <w:p w14:paraId="7E8D28C5">
      <w:pPr>
        <w:shd w:val="clear"/>
        <w:ind w:firstLine="480" w:firstLineChars="200"/>
        <w:rPr>
          <w:rFonts w:cs="仿宋"/>
          <w:highlight w:val="none"/>
        </w:rPr>
      </w:pPr>
      <w:r>
        <w:rPr>
          <w:rFonts w:hint="eastAsia"/>
          <w:highlight w:val="none"/>
        </w:rPr>
        <w:t>投标人</w:t>
      </w:r>
      <w:r>
        <w:rPr>
          <w:rFonts w:hint="eastAsia" w:cs="仿宋"/>
          <w:highlight w:val="none"/>
        </w:rPr>
        <w:t>准备和参加招标活动发生的费用自理。</w:t>
      </w:r>
    </w:p>
    <w:p w14:paraId="3341DF20">
      <w:pPr>
        <w:pStyle w:val="59"/>
        <w:shd w:val="clear"/>
        <w:rPr>
          <w:highlight w:val="none"/>
        </w:rPr>
      </w:pPr>
      <w:bookmarkStart w:id="49" w:name="_Toc506105824"/>
      <w:bookmarkStart w:id="50" w:name="_Toc507936019"/>
      <w:r>
        <w:rPr>
          <w:rFonts w:hint="eastAsia"/>
          <w:highlight w:val="none"/>
        </w:rPr>
        <w:t>1.6 保密</w:t>
      </w:r>
      <w:bookmarkEnd w:id="49"/>
      <w:bookmarkEnd w:id="50"/>
    </w:p>
    <w:p w14:paraId="43FEDD08">
      <w:pPr>
        <w:shd w:val="clear"/>
        <w:spacing w:line="360" w:lineRule="auto"/>
        <w:ind w:firstLine="480" w:firstLineChars="200"/>
        <w:rPr>
          <w:rFonts w:cs="仿宋"/>
          <w:highlight w:val="none"/>
        </w:rPr>
      </w:pPr>
      <w:r>
        <w:rPr>
          <w:rFonts w:hint="eastAsia" w:cs="仿宋"/>
          <w:highlight w:val="none"/>
        </w:rPr>
        <w:t>参与招标活动的各方应对招标文件和投标文件中的商业和技术等秘密保密，违者应对由此造成的后果承担法律责任。</w:t>
      </w:r>
    </w:p>
    <w:p w14:paraId="7E079F1C">
      <w:pPr>
        <w:pStyle w:val="59"/>
        <w:shd w:val="clear"/>
        <w:rPr>
          <w:highlight w:val="none"/>
        </w:rPr>
      </w:pPr>
      <w:bookmarkStart w:id="51" w:name="_Toc507936020"/>
      <w:bookmarkStart w:id="52" w:name="_Toc506105825"/>
      <w:r>
        <w:rPr>
          <w:rFonts w:hint="eastAsia"/>
          <w:highlight w:val="none"/>
        </w:rPr>
        <w:t>1.7 语言文字</w:t>
      </w:r>
      <w:bookmarkEnd w:id="51"/>
      <w:bookmarkEnd w:id="52"/>
    </w:p>
    <w:p w14:paraId="7C1E32CE">
      <w:pPr>
        <w:shd w:val="clear"/>
        <w:spacing w:line="360" w:lineRule="auto"/>
        <w:ind w:firstLine="480" w:firstLineChars="200"/>
        <w:rPr>
          <w:rFonts w:cs="仿宋"/>
          <w:highlight w:val="none"/>
        </w:rPr>
      </w:pPr>
      <w:r>
        <w:rPr>
          <w:rFonts w:hint="eastAsia" w:cs="仿宋"/>
          <w:highlight w:val="none"/>
        </w:rPr>
        <w:t>除专用术语外，与招标有关的语言均使用中文，必要时专用术语应附有中文注释。</w:t>
      </w:r>
    </w:p>
    <w:p w14:paraId="11CE9960">
      <w:pPr>
        <w:pStyle w:val="59"/>
        <w:shd w:val="clear"/>
        <w:rPr>
          <w:highlight w:val="none"/>
        </w:rPr>
      </w:pPr>
      <w:bookmarkStart w:id="53" w:name="_Toc506105826"/>
      <w:bookmarkStart w:id="54" w:name="_Toc507936021"/>
      <w:r>
        <w:rPr>
          <w:rFonts w:hint="eastAsia"/>
          <w:highlight w:val="none"/>
        </w:rPr>
        <w:t>1.8 计量单位</w:t>
      </w:r>
      <w:bookmarkEnd w:id="53"/>
      <w:bookmarkEnd w:id="54"/>
    </w:p>
    <w:p w14:paraId="0C48C376">
      <w:pPr>
        <w:shd w:val="clear"/>
        <w:spacing w:line="360" w:lineRule="auto"/>
        <w:ind w:firstLine="480" w:firstLineChars="200"/>
        <w:rPr>
          <w:rFonts w:cs="仿宋"/>
          <w:highlight w:val="none"/>
        </w:rPr>
      </w:pPr>
      <w:r>
        <w:rPr>
          <w:rFonts w:hint="eastAsia" w:cs="仿宋"/>
          <w:highlight w:val="none"/>
        </w:rPr>
        <w:t>所有计量均采用中华人民共和国法定计量单位。</w:t>
      </w:r>
    </w:p>
    <w:p w14:paraId="0F843872">
      <w:pPr>
        <w:pStyle w:val="59"/>
        <w:shd w:val="clear"/>
        <w:rPr>
          <w:highlight w:val="none"/>
        </w:rPr>
      </w:pPr>
      <w:bookmarkStart w:id="55" w:name="_Toc507936022"/>
      <w:bookmarkStart w:id="56" w:name="_Toc506105827"/>
      <w:r>
        <w:rPr>
          <w:rFonts w:hint="eastAsia"/>
          <w:highlight w:val="none"/>
        </w:rPr>
        <w:t>1.9 踏勘现场</w:t>
      </w:r>
      <w:bookmarkEnd w:id="55"/>
      <w:bookmarkEnd w:id="56"/>
    </w:p>
    <w:p w14:paraId="146F896A">
      <w:pPr>
        <w:shd w:val="clear"/>
        <w:spacing w:line="360" w:lineRule="auto"/>
        <w:ind w:firstLine="480" w:firstLineChars="200"/>
        <w:rPr>
          <w:rStyle w:val="96"/>
          <w:highlight w:val="none"/>
        </w:rPr>
      </w:pPr>
      <w:r>
        <w:rPr>
          <w:rFonts w:hint="eastAsia" w:cs="仿宋"/>
          <w:highlight w:val="none"/>
        </w:rPr>
        <w:t>1.9.1详见投标人须知前附表</w:t>
      </w:r>
    </w:p>
    <w:p w14:paraId="7E452471">
      <w:pPr>
        <w:pStyle w:val="59"/>
        <w:shd w:val="clear"/>
        <w:rPr>
          <w:highlight w:val="none"/>
        </w:rPr>
      </w:pPr>
      <w:bookmarkStart w:id="57" w:name="_Toc506105828"/>
      <w:bookmarkStart w:id="58" w:name="_Toc507936023"/>
      <w:r>
        <w:rPr>
          <w:rFonts w:hint="eastAsia"/>
          <w:highlight w:val="none"/>
        </w:rPr>
        <w:t>1.10 招标预备会</w:t>
      </w:r>
      <w:bookmarkEnd w:id="57"/>
      <w:bookmarkEnd w:id="58"/>
    </w:p>
    <w:p w14:paraId="7EDA1F42">
      <w:pPr>
        <w:shd w:val="clear"/>
        <w:spacing w:line="360" w:lineRule="auto"/>
        <w:ind w:firstLine="480" w:firstLineChars="200"/>
        <w:rPr>
          <w:rFonts w:hint="eastAsia" w:cs="仿宋"/>
          <w:highlight w:val="none"/>
        </w:rPr>
      </w:pPr>
      <w:r>
        <w:rPr>
          <w:rFonts w:hint="eastAsia" w:cs="仿宋"/>
          <w:highlight w:val="none"/>
        </w:rPr>
        <w:t>1.10.1招标人不召开招标预备会。</w:t>
      </w:r>
    </w:p>
    <w:p w14:paraId="607806AF">
      <w:pPr>
        <w:pStyle w:val="59"/>
        <w:shd w:val="clear"/>
        <w:rPr>
          <w:rFonts w:hint="eastAsia"/>
          <w:highlight w:val="none"/>
        </w:rPr>
      </w:pPr>
      <w:r>
        <w:rPr>
          <w:rFonts w:hint="eastAsia"/>
          <w:highlight w:val="none"/>
        </w:rPr>
        <w:t>1.11响应和偏差</w:t>
      </w:r>
    </w:p>
    <w:p w14:paraId="36248DBF">
      <w:pPr>
        <w:shd w:val="clear"/>
        <w:spacing w:line="360" w:lineRule="auto"/>
        <w:ind w:firstLine="480" w:firstLineChars="200"/>
        <w:rPr>
          <w:rFonts w:hint="eastAsia" w:cs="仿宋"/>
          <w:highlight w:val="none"/>
        </w:rPr>
      </w:pPr>
      <w:r>
        <w:rPr>
          <w:rFonts w:hint="eastAsia" w:cs="仿宋"/>
          <w:highlight w:val="none"/>
        </w:rPr>
        <w:t>1.11.1投标文件应当对招标文件的实质性要求和条件作出满足性或更有利于招标人的响应，否则，投标人的投标将被否决。实质性要求和条件见投标人须知前附表。</w:t>
      </w:r>
    </w:p>
    <w:p w14:paraId="104E678D">
      <w:pPr>
        <w:shd w:val="clear"/>
        <w:spacing w:line="360" w:lineRule="auto"/>
        <w:ind w:firstLine="480" w:firstLineChars="200"/>
        <w:rPr>
          <w:rFonts w:hint="eastAsia" w:cs="仿宋"/>
          <w:highlight w:val="none"/>
        </w:rPr>
      </w:pPr>
      <w:r>
        <w:rPr>
          <w:rFonts w:hint="eastAsia" w:cs="仿宋"/>
          <w:highlight w:val="none"/>
        </w:rPr>
        <w:t>1.11.2投标人应根据招标文件的要求提供投标设备技术性能指标的详细描述、技术支持资料及技术服务和质保期服务计划等内容以对招标文件作出响应。</w:t>
      </w:r>
    </w:p>
    <w:p w14:paraId="7E09B73A">
      <w:pPr>
        <w:shd w:val="clear"/>
        <w:spacing w:line="360" w:lineRule="auto"/>
        <w:ind w:firstLine="480" w:firstLineChars="200"/>
        <w:rPr>
          <w:rFonts w:hint="eastAsia" w:cs="仿宋"/>
          <w:highlight w:val="none"/>
        </w:rPr>
      </w:pPr>
      <w:r>
        <w:rPr>
          <w:rFonts w:hint="eastAsia" w:cs="仿宋"/>
          <w:highlight w:val="none"/>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529D077">
      <w:pPr>
        <w:shd w:val="clear"/>
        <w:spacing w:line="360" w:lineRule="auto"/>
        <w:ind w:firstLine="480" w:firstLineChars="200"/>
        <w:rPr>
          <w:rFonts w:hint="eastAsia" w:cs="仿宋"/>
          <w:highlight w:val="none"/>
        </w:rPr>
      </w:pPr>
      <w:r>
        <w:rPr>
          <w:rFonts w:hint="eastAsia" w:cs="仿宋"/>
          <w:highlight w:val="none"/>
        </w:rPr>
        <w:t>1.11.4投标人须知前附表规定了可以偏差的范围和最高偏差项数的，偏差应当符合投标人须知前附表规定的偏差范围和最高项数，超出偏差范围和最高偏差项数的投标将被否决。</w:t>
      </w:r>
    </w:p>
    <w:p w14:paraId="48356528">
      <w:pPr>
        <w:shd w:val="clear"/>
        <w:spacing w:line="360" w:lineRule="auto"/>
        <w:ind w:firstLine="480" w:firstLineChars="200"/>
        <w:rPr>
          <w:rFonts w:hint="eastAsia" w:cs="仿宋"/>
          <w:highlight w:val="none"/>
        </w:rPr>
      </w:pPr>
      <w:r>
        <w:rPr>
          <w:rFonts w:hint="eastAsia" w:cs="仿宋"/>
          <w:highlight w:val="none"/>
        </w:rPr>
        <w:t>1.11.5投标文件对招标文件的全部偏差，均应在投标文件的商务和技术偏差表中列明，除列明的内容外，视为投标人响应招标文件的全部要求。</w:t>
      </w:r>
    </w:p>
    <w:p w14:paraId="57EED84E">
      <w:pPr>
        <w:pStyle w:val="64"/>
        <w:shd w:val="clear"/>
        <w:rPr>
          <w:rStyle w:val="96"/>
          <w:b/>
          <w:bCs/>
          <w:highlight w:val="none"/>
        </w:rPr>
      </w:pPr>
      <w:bookmarkStart w:id="59" w:name="_Toc507936024"/>
      <w:r>
        <w:rPr>
          <w:rStyle w:val="96"/>
          <w:rFonts w:hint="eastAsia"/>
          <w:b/>
          <w:bCs/>
          <w:highlight w:val="none"/>
        </w:rPr>
        <w:t>2.招标文件</w:t>
      </w:r>
      <w:bookmarkEnd w:id="59"/>
    </w:p>
    <w:p w14:paraId="615960B9">
      <w:pPr>
        <w:pStyle w:val="59"/>
        <w:shd w:val="clear"/>
        <w:rPr>
          <w:highlight w:val="none"/>
        </w:rPr>
      </w:pPr>
      <w:bookmarkStart w:id="60" w:name="_Toc506105830"/>
      <w:bookmarkStart w:id="61" w:name="_Toc507936025"/>
      <w:r>
        <w:rPr>
          <w:rFonts w:hint="eastAsia"/>
          <w:highlight w:val="none"/>
        </w:rPr>
        <w:t>2.1 招标文件的内容</w:t>
      </w:r>
      <w:bookmarkEnd w:id="60"/>
      <w:bookmarkEnd w:id="61"/>
      <w:r>
        <w:rPr>
          <w:rFonts w:hint="eastAsia"/>
          <w:highlight w:val="none"/>
        </w:rPr>
        <w:t>和发布</w:t>
      </w:r>
    </w:p>
    <w:p w14:paraId="62C62653">
      <w:pPr>
        <w:shd w:val="clear"/>
        <w:spacing w:line="360" w:lineRule="auto"/>
        <w:ind w:firstLine="480" w:firstLineChars="200"/>
        <w:rPr>
          <w:rFonts w:cs="仿宋"/>
          <w:highlight w:val="none"/>
        </w:rPr>
      </w:pPr>
      <w:r>
        <w:rPr>
          <w:rFonts w:hint="eastAsia" w:cs="仿宋"/>
          <w:highlight w:val="none"/>
        </w:rPr>
        <w:t>2.1.1招标文件包括：</w:t>
      </w:r>
    </w:p>
    <w:p w14:paraId="539975EA">
      <w:pPr>
        <w:shd w:val="clear"/>
        <w:spacing w:line="360" w:lineRule="auto"/>
        <w:ind w:firstLine="480" w:firstLineChars="200"/>
        <w:rPr>
          <w:rFonts w:cs="仿宋"/>
          <w:highlight w:val="none"/>
        </w:rPr>
      </w:pPr>
      <w:r>
        <w:rPr>
          <w:rFonts w:hint="eastAsia" w:cs="仿宋"/>
          <w:highlight w:val="none"/>
        </w:rPr>
        <w:t>（1）招标公告</w:t>
      </w:r>
    </w:p>
    <w:p w14:paraId="62F73D1F">
      <w:pPr>
        <w:shd w:val="clear"/>
        <w:spacing w:line="360" w:lineRule="auto"/>
        <w:ind w:firstLine="480" w:firstLineChars="200"/>
        <w:rPr>
          <w:rFonts w:cs="仿宋"/>
          <w:highlight w:val="none"/>
        </w:rPr>
      </w:pPr>
      <w:r>
        <w:rPr>
          <w:rFonts w:hint="eastAsia" w:cs="仿宋"/>
          <w:highlight w:val="none"/>
        </w:rPr>
        <w:t>（2）招标人须知</w:t>
      </w:r>
    </w:p>
    <w:p w14:paraId="3A5C13D4">
      <w:pPr>
        <w:shd w:val="clear"/>
        <w:spacing w:line="360" w:lineRule="auto"/>
        <w:ind w:firstLine="480" w:firstLineChars="200"/>
        <w:rPr>
          <w:rFonts w:cs="仿宋"/>
          <w:highlight w:val="none"/>
        </w:rPr>
      </w:pPr>
      <w:r>
        <w:rPr>
          <w:rFonts w:hint="eastAsia" w:cs="仿宋"/>
          <w:highlight w:val="none"/>
        </w:rPr>
        <w:t>（3）评标办法</w:t>
      </w:r>
    </w:p>
    <w:p w14:paraId="24EB1122">
      <w:pPr>
        <w:shd w:val="clear"/>
        <w:spacing w:line="360" w:lineRule="auto"/>
        <w:ind w:firstLine="480" w:firstLineChars="200"/>
        <w:rPr>
          <w:rFonts w:cs="仿宋"/>
          <w:highlight w:val="none"/>
        </w:rPr>
      </w:pPr>
      <w:r>
        <w:rPr>
          <w:rFonts w:hint="eastAsia" w:cs="仿宋"/>
          <w:highlight w:val="none"/>
        </w:rPr>
        <w:t>（4）合同及附件</w:t>
      </w:r>
    </w:p>
    <w:p w14:paraId="6E559B4E">
      <w:pPr>
        <w:shd w:val="clear"/>
        <w:spacing w:line="360" w:lineRule="auto"/>
        <w:ind w:firstLine="480" w:firstLineChars="200"/>
        <w:rPr>
          <w:rFonts w:cs="仿宋"/>
          <w:highlight w:val="none"/>
        </w:rPr>
      </w:pPr>
      <w:r>
        <w:rPr>
          <w:rFonts w:hint="eastAsia" w:cs="仿宋"/>
          <w:highlight w:val="none"/>
        </w:rPr>
        <w:t>（5）投标文件格式及内容</w:t>
      </w:r>
    </w:p>
    <w:p w14:paraId="52E022D0">
      <w:pPr>
        <w:shd w:val="clear"/>
        <w:spacing w:line="360" w:lineRule="auto"/>
        <w:ind w:firstLine="480" w:firstLineChars="200"/>
        <w:rPr>
          <w:rFonts w:cs="仿宋"/>
          <w:highlight w:val="none"/>
        </w:rPr>
      </w:pPr>
      <w:r>
        <w:rPr>
          <w:rFonts w:hint="eastAsia" w:cs="仿宋"/>
          <w:highlight w:val="none"/>
        </w:rPr>
        <w:t>（6）需求一览表</w:t>
      </w:r>
    </w:p>
    <w:p w14:paraId="4D0F90F8">
      <w:pPr>
        <w:shd w:val="clear"/>
        <w:spacing w:line="360" w:lineRule="auto"/>
        <w:ind w:firstLine="480" w:firstLineChars="200"/>
        <w:rPr>
          <w:rFonts w:hint="eastAsia" w:cs="仿宋"/>
          <w:highlight w:val="none"/>
        </w:rPr>
      </w:pPr>
      <w:r>
        <w:rPr>
          <w:rFonts w:hint="eastAsia" w:cs="仿宋"/>
          <w:highlight w:val="none"/>
        </w:rPr>
        <w:t>（7）技术规范</w:t>
      </w:r>
    </w:p>
    <w:p w14:paraId="4A7B3838">
      <w:pPr>
        <w:shd w:val="clear"/>
        <w:spacing w:line="360" w:lineRule="auto"/>
        <w:ind w:firstLine="480" w:firstLineChars="200"/>
        <w:rPr>
          <w:rFonts w:cs="仿宋"/>
          <w:highlight w:val="none"/>
        </w:rPr>
      </w:pPr>
      <w:r>
        <w:rPr>
          <w:rFonts w:hint="eastAsia" w:cs="仿宋"/>
          <w:highlight w:val="none"/>
        </w:rPr>
        <w:t>（8）</w:t>
      </w:r>
      <w:r>
        <w:rPr>
          <w:rFonts w:hint="eastAsia"/>
          <w:highlight w:val="none"/>
        </w:rPr>
        <w:t>投标人须知前附表规定的其他材料</w:t>
      </w:r>
    </w:p>
    <w:p w14:paraId="4A6EFD1D">
      <w:pPr>
        <w:shd w:val="clear"/>
        <w:spacing w:line="360" w:lineRule="auto"/>
        <w:ind w:firstLine="480" w:firstLineChars="200"/>
        <w:rPr>
          <w:rFonts w:cs="仿宋"/>
          <w:highlight w:val="none"/>
        </w:rPr>
      </w:pPr>
      <w:r>
        <w:rPr>
          <w:rFonts w:hint="eastAsia" w:cs="仿宋"/>
          <w:highlight w:val="none"/>
        </w:rPr>
        <w:t>根据本章第1.10款、第2.2款和第2.3款对招标文件所作的澄清、修改，构成招标文件的组成部分。</w:t>
      </w:r>
    </w:p>
    <w:p w14:paraId="28D77EB5">
      <w:pPr>
        <w:shd w:val="clear"/>
        <w:spacing w:line="360" w:lineRule="auto"/>
        <w:ind w:firstLine="480" w:firstLineChars="200"/>
        <w:rPr>
          <w:rFonts w:hint="eastAsia" w:cs="仿宋"/>
          <w:highlight w:val="none"/>
        </w:rPr>
      </w:pPr>
      <w:r>
        <w:rPr>
          <w:rFonts w:hint="eastAsia" w:cs="仿宋"/>
          <w:highlight w:val="none"/>
        </w:rPr>
        <w:t>2.1.2若招标文件中不同章节对同一内容叙述有差异的，性能、参数以技术要求为准；投标人资格要求、交货期、交货地点、质保期以</w:t>
      </w:r>
      <w:r>
        <w:rPr>
          <w:rFonts w:hint="eastAsia"/>
          <w:highlight w:val="none"/>
        </w:rPr>
        <w:t>投标人须知前附表</w:t>
      </w:r>
      <w:r>
        <w:rPr>
          <w:rFonts w:hint="eastAsia" w:cs="仿宋"/>
          <w:highlight w:val="none"/>
        </w:rPr>
        <w:t>为准。</w:t>
      </w:r>
    </w:p>
    <w:p w14:paraId="70291C2C">
      <w:pPr>
        <w:pStyle w:val="45"/>
        <w:shd w:val="clear"/>
        <w:spacing w:line="360" w:lineRule="auto"/>
        <w:ind w:left="0" w:leftChars="0" w:firstLine="480"/>
        <w:rPr>
          <w:rFonts w:ascii="宋体" w:hAnsi="宋体" w:cs="仿宋"/>
          <w:highlight w:val="none"/>
        </w:rPr>
      </w:pPr>
      <w:r>
        <w:rPr>
          <w:rFonts w:hint="eastAsia" w:ascii="宋体" w:hAnsi="宋体" w:cs="仿宋"/>
          <w:highlight w:val="none"/>
        </w:rPr>
        <w:t>2.1.3本招标文件在济钢集团有限公司阳光购销平台（网址：</w:t>
      </w:r>
      <w:r>
        <w:rPr>
          <w:rFonts w:hint="eastAsia" w:ascii="宋体" w:hAnsi="宋体" w:cs="仿宋"/>
          <w:highlight w:val="none"/>
        </w:rPr>
        <w:fldChar w:fldCharType="begin"/>
      </w:r>
      <w:r>
        <w:rPr>
          <w:rFonts w:hint="eastAsia" w:ascii="宋体" w:hAnsi="宋体" w:cs="仿宋"/>
          <w:highlight w:val="none"/>
        </w:rPr>
        <w:instrText xml:space="preserve"> HYPERLINK "http://bidding.jigang.com.cn" </w:instrText>
      </w:r>
      <w:r>
        <w:rPr>
          <w:rFonts w:hint="eastAsia" w:ascii="宋体" w:hAnsi="宋体" w:cs="仿宋"/>
          <w:highlight w:val="none"/>
        </w:rPr>
        <w:fldChar w:fldCharType="separate"/>
      </w:r>
      <w:r>
        <w:rPr>
          <w:rFonts w:hint="eastAsia" w:ascii="宋体" w:hAnsi="宋体" w:cs="仿宋"/>
          <w:highlight w:val="none"/>
        </w:rPr>
        <w:t>http://bidding.jigang.com.cn</w:t>
      </w:r>
      <w:r>
        <w:rPr>
          <w:rFonts w:hint="eastAsia" w:ascii="宋体" w:hAnsi="宋体" w:cs="仿宋"/>
          <w:highlight w:val="none"/>
        </w:rPr>
        <w:fldChar w:fldCharType="end"/>
      </w:r>
      <w:r>
        <w:rPr>
          <w:rFonts w:hint="eastAsia" w:ascii="宋体" w:hAnsi="宋体" w:cs="仿宋"/>
          <w:highlight w:val="none"/>
        </w:rPr>
        <w:t>/） 上发布。除上述媒介以外的媒介转载或发布与本次招标相关信息的，招标人不承担任何责任并保留追究相关方责任的权利。</w:t>
      </w:r>
    </w:p>
    <w:p w14:paraId="2FF82DB6">
      <w:pPr>
        <w:pStyle w:val="59"/>
        <w:shd w:val="clear"/>
        <w:rPr>
          <w:highlight w:val="none"/>
        </w:rPr>
      </w:pPr>
      <w:bookmarkStart w:id="62" w:name="_Toc507936026"/>
      <w:bookmarkStart w:id="63" w:name="_Toc506105831"/>
      <w:r>
        <w:rPr>
          <w:rFonts w:hint="eastAsia"/>
          <w:highlight w:val="none"/>
        </w:rPr>
        <w:t>2.2 招标文件的澄清</w:t>
      </w:r>
      <w:bookmarkEnd w:id="62"/>
      <w:bookmarkEnd w:id="63"/>
    </w:p>
    <w:p w14:paraId="4B1D1600">
      <w:pPr>
        <w:shd w:val="clear"/>
        <w:spacing w:line="360" w:lineRule="auto"/>
        <w:ind w:firstLine="480" w:firstLineChars="200"/>
        <w:rPr>
          <w:rFonts w:cs="仿宋"/>
          <w:highlight w:val="none"/>
        </w:rPr>
      </w:pPr>
      <w:r>
        <w:rPr>
          <w:rFonts w:hint="eastAsia" w:cs="仿宋"/>
          <w:highlight w:val="none"/>
        </w:rPr>
        <w:t>2.2.1投标人应仔细阅读和检查招标文件的全部内容。如发现缺页或者附件不全，应及时向招标人提出，以便补齐。</w:t>
      </w:r>
    </w:p>
    <w:p w14:paraId="1A03BF9B">
      <w:pPr>
        <w:shd w:val="clear"/>
        <w:spacing w:line="360" w:lineRule="auto"/>
        <w:ind w:firstLine="480" w:firstLineChars="200"/>
        <w:rPr>
          <w:rFonts w:hint="eastAsia"/>
          <w:highlight w:val="none"/>
        </w:rPr>
      </w:pPr>
      <w:r>
        <w:rPr>
          <w:rFonts w:hint="eastAsia" w:cs="仿宋"/>
          <w:highlight w:val="none"/>
        </w:rPr>
        <w:t>2.2.2招标文件的澄清：详见投标人须知前附表</w:t>
      </w:r>
    </w:p>
    <w:p w14:paraId="3E8F1FBE">
      <w:pPr>
        <w:pStyle w:val="59"/>
        <w:shd w:val="clear"/>
        <w:rPr>
          <w:rFonts w:hint="eastAsia"/>
          <w:highlight w:val="none"/>
        </w:rPr>
      </w:pPr>
      <w:bookmarkStart w:id="64" w:name="_Toc506105832"/>
      <w:bookmarkStart w:id="65" w:name="_Toc507936027"/>
      <w:r>
        <w:rPr>
          <w:rFonts w:hint="eastAsia"/>
          <w:highlight w:val="none"/>
        </w:rPr>
        <w:t>2.3 招标文件的修改</w:t>
      </w:r>
      <w:bookmarkEnd w:id="64"/>
      <w:bookmarkEnd w:id="65"/>
    </w:p>
    <w:p w14:paraId="6A3C7DF2">
      <w:pPr>
        <w:shd w:val="clear"/>
        <w:spacing w:line="360" w:lineRule="auto"/>
        <w:ind w:firstLine="480" w:firstLineChars="200"/>
        <w:rPr>
          <w:rFonts w:hint="eastAsia" w:cs="仿宋"/>
          <w:highlight w:val="none"/>
        </w:rPr>
      </w:pPr>
      <w:r>
        <w:rPr>
          <w:rFonts w:hint="eastAsia" w:cs="仿宋"/>
          <w:highlight w:val="none"/>
        </w:rPr>
        <w:t>详见投标人须知前附表</w:t>
      </w:r>
    </w:p>
    <w:p w14:paraId="5863029F">
      <w:pPr>
        <w:pStyle w:val="59"/>
        <w:shd w:val="clear"/>
        <w:rPr>
          <w:highlight w:val="none"/>
        </w:rPr>
      </w:pPr>
      <w:bookmarkStart w:id="66" w:name="_Toc507936028"/>
      <w:bookmarkStart w:id="67" w:name="_Toc506105833"/>
      <w:r>
        <w:rPr>
          <w:rFonts w:hint="eastAsia"/>
          <w:highlight w:val="none"/>
        </w:rPr>
        <w:t>2.4对招标文件的异议</w:t>
      </w:r>
      <w:bookmarkEnd w:id="66"/>
      <w:bookmarkEnd w:id="67"/>
    </w:p>
    <w:p w14:paraId="464E6A8A">
      <w:pPr>
        <w:shd w:val="clear"/>
        <w:spacing w:line="360" w:lineRule="auto"/>
        <w:ind w:firstLine="480" w:firstLineChars="200"/>
        <w:rPr>
          <w:rFonts w:hint="eastAsia" w:cs="仿宋"/>
          <w:highlight w:val="none"/>
        </w:rPr>
      </w:pPr>
      <w:r>
        <w:rPr>
          <w:rFonts w:hint="eastAsia" w:cs="仿宋"/>
          <w:highlight w:val="none"/>
        </w:rPr>
        <w:t>投标人对招标文件有异议的，应当在递交投标文件截止之日7天前提出。招标人自收到异议之日起3日内做出答复；若异议和答复内容影响招标文件编制的，按照本章第2.3款的规定相应延长开标时间。</w:t>
      </w:r>
    </w:p>
    <w:p w14:paraId="0894AADA">
      <w:pPr>
        <w:shd w:val="clear"/>
        <w:spacing w:line="360" w:lineRule="auto"/>
        <w:jc w:val="center"/>
        <w:rPr>
          <w:rStyle w:val="96"/>
          <w:rFonts w:hint="eastAsia"/>
          <w:highlight w:val="none"/>
        </w:rPr>
      </w:pPr>
      <w:r>
        <w:rPr>
          <w:rStyle w:val="96"/>
          <w:rFonts w:hint="eastAsia"/>
          <w:highlight w:val="none"/>
        </w:rPr>
        <w:t>3、投标文件</w:t>
      </w:r>
    </w:p>
    <w:p w14:paraId="178E2034">
      <w:pPr>
        <w:pStyle w:val="59"/>
        <w:shd w:val="clear"/>
        <w:rPr>
          <w:highlight w:val="none"/>
        </w:rPr>
      </w:pPr>
      <w:bookmarkStart w:id="68" w:name="_Toc506105835"/>
      <w:bookmarkStart w:id="69" w:name="_Toc507936029"/>
      <w:r>
        <w:rPr>
          <w:rFonts w:hint="eastAsia"/>
          <w:highlight w:val="none"/>
        </w:rPr>
        <w:t>3.1 投标文件的组成</w:t>
      </w:r>
      <w:bookmarkEnd w:id="68"/>
      <w:bookmarkEnd w:id="69"/>
    </w:p>
    <w:p w14:paraId="3D4F95FB">
      <w:pPr>
        <w:shd w:val="clear"/>
        <w:spacing w:line="360" w:lineRule="auto"/>
        <w:ind w:firstLine="480" w:firstLineChars="200"/>
        <w:rPr>
          <w:rFonts w:cs="仿宋"/>
          <w:highlight w:val="none"/>
        </w:rPr>
      </w:pPr>
      <w:r>
        <w:rPr>
          <w:rFonts w:hint="eastAsia" w:cs="仿宋"/>
          <w:highlight w:val="none"/>
        </w:rPr>
        <w:t>3.1.1投标文件包括下列内容：</w:t>
      </w:r>
    </w:p>
    <w:p w14:paraId="3CF86DD1">
      <w:pPr>
        <w:shd w:val="clear"/>
        <w:spacing w:line="360" w:lineRule="auto"/>
        <w:ind w:firstLine="480" w:firstLineChars="200"/>
        <w:rPr>
          <w:rFonts w:cs="仿宋"/>
          <w:highlight w:val="none"/>
        </w:rPr>
      </w:pPr>
      <w:r>
        <w:rPr>
          <w:rFonts w:hint="eastAsia" w:cs="仿宋"/>
          <w:highlight w:val="none"/>
        </w:rPr>
        <w:t>第一部分  商务部分</w:t>
      </w:r>
    </w:p>
    <w:p w14:paraId="10B4213D">
      <w:pPr>
        <w:shd w:val="clear"/>
        <w:spacing w:line="360" w:lineRule="auto"/>
        <w:ind w:firstLine="480" w:firstLineChars="200"/>
        <w:rPr>
          <w:rFonts w:cs="仿宋"/>
          <w:highlight w:val="none"/>
        </w:rPr>
      </w:pPr>
      <w:r>
        <w:rPr>
          <w:rFonts w:hint="eastAsia" w:cs="仿宋"/>
          <w:highlight w:val="none"/>
        </w:rPr>
        <w:t>（1）报价函</w:t>
      </w:r>
    </w:p>
    <w:p w14:paraId="48C5ABB1">
      <w:pPr>
        <w:shd w:val="clear"/>
        <w:spacing w:line="360" w:lineRule="auto"/>
        <w:ind w:firstLine="480" w:firstLineChars="200"/>
        <w:rPr>
          <w:rFonts w:cs="仿宋"/>
          <w:highlight w:val="none"/>
        </w:rPr>
      </w:pPr>
      <w:r>
        <w:rPr>
          <w:rFonts w:hint="eastAsia" w:cs="仿宋"/>
          <w:highlight w:val="none"/>
        </w:rPr>
        <w:t>（2）授权委托书</w:t>
      </w:r>
    </w:p>
    <w:p w14:paraId="7F6825F1">
      <w:pPr>
        <w:shd w:val="clear"/>
        <w:spacing w:line="360" w:lineRule="auto"/>
        <w:ind w:firstLine="480" w:firstLineChars="200"/>
        <w:rPr>
          <w:rFonts w:cs="仿宋"/>
          <w:highlight w:val="none"/>
        </w:rPr>
      </w:pPr>
      <w:r>
        <w:rPr>
          <w:rFonts w:hint="eastAsia" w:cs="仿宋"/>
          <w:highlight w:val="none"/>
        </w:rPr>
        <w:t>（3）投标保证金</w:t>
      </w:r>
    </w:p>
    <w:p w14:paraId="4CBD487B">
      <w:pPr>
        <w:shd w:val="clear"/>
        <w:spacing w:line="360" w:lineRule="auto"/>
        <w:ind w:firstLine="480" w:firstLineChars="200"/>
        <w:rPr>
          <w:rFonts w:cs="仿宋"/>
          <w:highlight w:val="none"/>
        </w:rPr>
      </w:pPr>
      <w:r>
        <w:rPr>
          <w:rFonts w:hint="eastAsia" w:cs="仿宋"/>
          <w:highlight w:val="none"/>
        </w:rPr>
        <w:t>（4）资格审查资料</w:t>
      </w:r>
    </w:p>
    <w:p w14:paraId="289E8761">
      <w:pPr>
        <w:shd w:val="clear"/>
        <w:spacing w:line="360" w:lineRule="auto"/>
        <w:ind w:firstLine="480" w:firstLineChars="200"/>
        <w:rPr>
          <w:rFonts w:cs="仿宋"/>
          <w:highlight w:val="none"/>
        </w:rPr>
      </w:pPr>
      <w:r>
        <w:rPr>
          <w:rFonts w:hint="eastAsia" w:cs="仿宋"/>
          <w:highlight w:val="none"/>
        </w:rPr>
        <w:t>（5）报价表</w:t>
      </w:r>
    </w:p>
    <w:p w14:paraId="7D5821DE">
      <w:pPr>
        <w:shd w:val="clear"/>
        <w:spacing w:line="360" w:lineRule="auto"/>
        <w:ind w:firstLine="480" w:firstLineChars="200"/>
        <w:rPr>
          <w:rFonts w:cs="仿宋"/>
          <w:highlight w:val="none"/>
        </w:rPr>
      </w:pPr>
      <w:r>
        <w:rPr>
          <w:rFonts w:hint="eastAsia" w:cs="仿宋"/>
          <w:highlight w:val="none"/>
        </w:rPr>
        <w:t>（6）商务偏差表</w:t>
      </w:r>
    </w:p>
    <w:p w14:paraId="7CE7B2AE">
      <w:pPr>
        <w:shd w:val="clear"/>
        <w:spacing w:line="360" w:lineRule="auto"/>
        <w:ind w:firstLine="480" w:firstLineChars="200"/>
        <w:rPr>
          <w:rFonts w:cs="仿宋"/>
          <w:highlight w:val="none"/>
        </w:rPr>
      </w:pPr>
      <w:r>
        <w:rPr>
          <w:rFonts w:hint="eastAsia" w:cs="仿宋"/>
          <w:highlight w:val="none"/>
        </w:rPr>
        <w:t>（7）无行贿犯罪记录证明材料</w:t>
      </w:r>
    </w:p>
    <w:p w14:paraId="7D8B4E05">
      <w:pPr>
        <w:shd w:val="clear"/>
        <w:spacing w:line="360" w:lineRule="auto"/>
        <w:ind w:firstLine="480" w:firstLineChars="200"/>
        <w:rPr>
          <w:rFonts w:cs="仿宋"/>
          <w:highlight w:val="none"/>
        </w:rPr>
      </w:pPr>
      <w:r>
        <w:rPr>
          <w:rFonts w:hint="eastAsia" w:cs="仿宋"/>
          <w:highlight w:val="none"/>
        </w:rPr>
        <w:t>（8）投标人认为应补充的其它商务资料</w:t>
      </w:r>
    </w:p>
    <w:p w14:paraId="74C6F35A">
      <w:pPr>
        <w:shd w:val="clear"/>
        <w:spacing w:line="360" w:lineRule="auto"/>
        <w:ind w:firstLine="480" w:firstLineChars="200"/>
        <w:rPr>
          <w:rFonts w:cs="仿宋"/>
          <w:highlight w:val="none"/>
        </w:rPr>
      </w:pPr>
      <w:r>
        <w:rPr>
          <w:rFonts w:hint="eastAsia" w:cs="仿宋"/>
          <w:highlight w:val="none"/>
        </w:rPr>
        <w:t>第二部分  技术部分</w:t>
      </w:r>
    </w:p>
    <w:p w14:paraId="4BA24828">
      <w:pPr>
        <w:shd w:val="clear"/>
        <w:spacing w:line="360" w:lineRule="auto"/>
        <w:ind w:left="480"/>
        <w:rPr>
          <w:rFonts w:cs="仿宋"/>
          <w:highlight w:val="none"/>
        </w:rPr>
      </w:pPr>
      <w:r>
        <w:rPr>
          <w:rFonts w:hint="eastAsia" w:cs="仿宋"/>
          <w:highlight w:val="none"/>
        </w:rPr>
        <w:t>（1）招标内容</w:t>
      </w:r>
    </w:p>
    <w:p w14:paraId="1C9B376E">
      <w:pPr>
        <w:shd w:val="clear"/>
        <w:spacing w:line="360" w:lineRule="auto"/>
        <w:ind w:left="480"/>
        <w:rPr>
          <w:rFonts w:cs="仿宋"/>
          <w:highlight w:val="none"/>
        </w:rPr>
      </w:pPr>
      <w:r>
        <w:rPr>
          <w:rFonts w:hint="eastAsia" w:cs="仿宋"/>
          <w:highlight w:val="none"/>
        </w:rPr>
        <w:t>（2）交货计划表</w:t>
      </w:r>
    </w:p>
    <w:p w14:paraId="2BDE18DA">
      <w:pPr>
        <w:shd w:val="clear"/>
        <w:spacing w:line="360" w:lineRule="auto"/>
        <w:ind w:left="480"/>
        <w:rPr>
          <w:rFonts w:cs="仿宋"/>
          <w:highlight w:val="none"/>
        </w:rPr>
      </w:pPr>
      <w:r>
        <w:rPr>
          <w:rFonts w:hint="eastAsia" w:cs="仿宋"/>
          <w:highlight w:val="none"/>
        </w:rPr>
        <w:t>（3）技术要求</w:t>
      </w:r>
    </w:p>
    <w:p w14:paraId="57A0D1C6">
      <w:pPr>
        <w:shd w:val="clear"/>
        <w:spacing w:line="360" w:lineRule="auto"/>
        <w:ind w:left="480"/>
        <w:rPr>
          <w:rFonts w:hint="eastAsia" w:cs="仿宋"/>
          <w:highlight w:val="none"/>
        </w:rPr>
      </w:pPr>
      <w:r>
        <w:rPr>
          <w:rFonts w:hint="eastAsia" w:cs="仿宋"/>
          <w:highlight w:val="none"/>
        </w:rPr>
        <w:t>（4）技术偏差表</w:t>
      </w:r>
    </w:p>
    <w:p w14:paraId="2E8E96AC">
      <w:pPr>
        <w:pStyle w:val="45"/>
        <w:shd w:val="clear"/>
        <w:ind w:left="0" w:leftChars="0" w:firstLine="480"/>
        <w:rPr>
          <w:highlight w:val="none"/>
        </w:rPr>
      </w:pPr>
      <w:r>
        <w:rPr>
          <w:rFonts w:hint="eastAsia" w:ascii="宋体" w:hAnsi="宋体" w:cs="仿宋"/>
          <w:highlight w:val="none"/>
        </w:rPr>
        <w:t>（5）</w:t>
      </w:r>
      <w:r>
        <w:rPr>
          <w:rFonts w:hint="eastAsia" w:cs="仿宋"/>
          <w:highlight w:val="none"/>
        </w:rPr>
        <w:t>投标人</w:t>
      </w:r>
      <w:r>
        <w:rPr>
          <w:rFonts w:hint="eastAsia" w:ascii="宋体" w:hAnsi="宋体" w:cs="仿宋"/>
          <w:highlight w:val="none"/>
        </w:rPr>
        <w:t>认为应补充的其它技术资料</w:t>
      </w:r>
    </w:p>
    <w:p w14:paraId="4FDDB30F">
      <w:pPr>
        <w:pStyle w:val="59"/>
        <w:shd w:val="clear"/>
        <w:rPr>
          <w:highlight w:val="none"/>
        </w:rPr>
      </w:pPr>
      <w:bookmarkStart w:id="70" w:name="_Toc507936030"/>
      <w:bookmarkStart w:id="71" w:name="_Toc406766394"/>
      <w:bookmarkStart w:id="72" w:name="_Toc506105836"/>
      <w:r>
        <w:rPr>
          <w:rFonts w:hint="eastAsia"/>
          <w:highlight w:val="none"/>
        </w:rPr>
        <w:t>3.2 报价</w:t>
      </w:r>
      <w:bookmarkEnd w:id="70"/>
      <w:bookmarkEnd w:id="71"/>
      <w:bookmarkEnd w:id="72"/>
    </w:p>
    <w:p w14:paraId="2A0CABBB">
      <w:pPr>
        <w:shd w:val="clear"/>
        <w:spacing w:line="360" w:lineRule="auto"/>
        <w:ind w:firstLine="480" w:firstLineChars="200"/>
        <w:rPr>
          <w:rFonts w:hint="eastAsia" w:cs="仿宋"/>
          <w:highlight w:val="none"/>
        </w:rPr>
      </w:pPr>
      <w:r>
        <w:rPr>
          <w:rFonts w:hint="eastAsia" w:cs="仿宋"/>
          <w:highlight w:val="none"/>
        </w:rPr>
        <w:t>3.2.1 报价方式：投标总价；</w:t>
      </w:r>
      <w:r>
        <w:rPr>
          <w:rFonts w:hint="eastAsia"/>
          <w:highlight w:val="none"/>
        </w:rPr>
        <w:t>报价币种：人民币；报价为增值税专用发票价格。</w:t>
      </w:r>
    </w:p>
    <w:p w14:paraId="0615B809">
      <w:pPr>
        <w:shd w:val="clear"/>
        <w:spacing w:line="360" w:lineRule="auto"/>
        <w:ind w:firstLine="480" w:firstLineChars="200"/>
        <w:rPr>
          <w:rFonts w:cs="仿宋"/>
          <w:highlight w:val="none"/>
        </w:rPr>
      </w:pPr>
      <w:r>
        <w:rPr>
          <w:rFonts w:hint="eastAsia" w:cs="仿宋"/>
          <w:highlight w:val="none"/>
        </w:rPr>
        <w:t>3.2.2 投标人在招标开始时间前修改报价函中的总报价，应同时修改“报价组成表”中的相应价格。此修改须符合本章第4.3款的有关规定。　</w:t>
      </w:r>
    </w:p>
    <w:p w14:paraId="38F1F4DE">
      <w:pPr>
        <w:pStyle w:val="59"/>
        <w:shd w:val="clear"/>
        <w:rPr>
          <w:highlight w:val="none"/>
        </w:rPr>
      </w:pPr>
      <w:bookmarkStart w:id="73" w:name="_Toc507936031"/>
      <w:bookmarkStart w:id="74" w:name="_Toc406766395"/>
      <w:bookmarkStart w:id="75" w:name="_Toc506105837"/>
      <w:r>
        <w:rPr>
          <w:rFonts w:hint="eastAsia"/>
          <w:highlight w:val="none"/>
        </w:rPr>
        <w:t>3.3 投标有效期</w:t>
      </w:r>
      <w:bookmarkEnd w:id="73"/>
      <w:bookmarkEnd w:id="74"/>
      <w:bookmarkEnd w:id="75"/>
    </w:p>
    <w:p w14:paraId="32E2C7B9">
      <w:pPr>
        <w:shd w:val="clear"/>
        <w:spacing w:line="360" w:lineRule="auto"/>
        <w:ind w:firstLine="480" w:firstLineChars="200"/>
        <w:rPr>
          <w:rFonts w:cs="仿宋"/>
          <w:highlight w:val="none"/>
        </w:rPr>
      </w:pPr>
      <w:r>
        <w:rPr>
          <w:rFonts w:hint="eastAsia" w:cs="仿宋"/>
          <w:highlight w:val="none"/>
        </w:rPr>
        <w:t>3.3.1投标有效期：详见投标人须知前附表</w:t>
      </w:r>
    </w:p>
    <w:p w14:paraId="3389D350">
      <w:pPr>
        <w:shd w:val="clear"/>
        <w:spacing w:line="360" w:lineRule="auto"/>
        <w:ind w:firstLine="480" w:firstLineChars="200"/>
        <w:rPr>
          <w:rFonts w:cs="仿宋"/>
          <w:highlight w:val="none"/>
        </w:rPr>
      </w:pPr>
      <w:r>
        <w:rPr>
          <w:rFonts w:hint="eastAsia" w:cs="仿宋"/>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71E87830">
      <w:pPr>
        <w:pStyle w:val="59"/>
        <w:shd w:val="clear"/>
        <w:rPr>
          <w:highlight w:val="none"/>
        </w:rPr>
      </w:pPr>
      <w:bookmarkStart w:id="76" w:name="_Toc406766396"/>
      <w:bookmarkStart w:id="77" w:name="_Toc507936032"/>
      <w:bookmarkStart w:id="78" w:name="_Toc506105838"/>
      <w:r>
        <w:rPr>
          <w:rFonts w:hint="eastAsia"/>
          <w:highlight w:val="none"/>
        </w:rPr>
        <w:t xml:space="preserve">3.4 </w:t>
      </w:r>
      <w:bookmarkEnd w:id="76"/>
      <w:bookmarkEnd w:id="77"/>
      <w:bookmarkEnd w:id="78"/>
      <w:r>
        <w:rPr>
          <w:rFonts w:hint="eastAsia"/>
          <w:highlight w:val="none"/>
        </w:rPr>
        <w:t>投标保证金</w:t>
      </w:r>
    </w:p>
    <w:p w14:paraId="1589BF88">
      <w:pPr>
        <w:shd w:val="clear"/>
        <w:spacing w:line="360" w:lineRule="auto"/>
        <w:ind w:firstLine="480" w:firstLineChars="200"/>
        <w:rPr>
          <w:rFonts w:cs="仿宋"/>
          <w:highlight w:val="none"/>
        </w:rPr>
      </w:pPr>
      <w:r>
        <w:rPr>
          <w:rFonts w:hint="eastAsia" w:cs="仿宋"/>
          <w:highlight w:val="none"/>
        </w:rPr>
        <w:t>3.4.1 投标人在递交投标文件的同时，应按招标公告规定的金额、担保形式递交投标保证金，并作为其投标文件的组成部分。详见投标人须知前附表。</w:t>
      </w:r>
    </w:p>
    <w:p w14:paraId="2E089E6A">
      <w:pPr>
        <w:shd w:val="clear"/>
        <w:spacing w:line="360" w:lineRule="auto"/>
        <w:ind w:firstLine="480" w:firstLineChars="200"/>
        <w:rPr>
          <w:rFonts w:cs="仿宋"/>
          <w:highlight w:val="none"/>
        </w:rPr>
      </w:pPr>
      <w:r>
        <w:rPr>
          <w:rFonts w:hint="eastAsia" w:cs="仿宋"/>
          <w:highlight w:val="none"/>
        </w:rPr>
        <w:t>3.4.2 投标人不按本章第3.4.1项要求提交投标保证金的，其投标文件作无效。</w:t>
      </w:r>
    </w:p>
    <w:p w14:paraId="1A753D4C">
      <w:pPr>
        <w:shd w:val="clear"/>
        <w:spacing w:line="360" w:lineRule="auto"/>
        <w:ind w:firstLine="480" w:firstLineChars="200"/>
        <w:rPr>
          <w:rFonts w:cs="仿宋"/>
          <w:bCs/>
          <w:highlight w:val="none"/>
        </w:rPr>
      </w:pPr>
      <w:r>
        <w:rPr>
          <w:rFonts w:hint="eastAsia" w:cs="仿宋"/>
          <w:highlight w:val="none"/>
        </w:rPr>
        <w:t>3.4.3</w:t>
      </w:r>
      <w:r>
        <w:rPr>
          <w:rFonts w:hint="eastAsia" w:cs="仿宋"/>
          <w:bCs/>
          <w:highlight w:val="none"/>
        </w:rPr>
        <w:t xml:space="preserve"> </w:t>
      </w:r>
      <w:r>
        <w:rPr>
          <w:rFonts w:hint="eastAsia" w:cs="仿宋"/>
          <w:highlight w:val="none"/>
        </w:rPr>
        <w:t>招标人与中标人签订合同30日内</w:t>
      </w:r>
      <w:r>
        <w:rPr>
          <w:rFonts w:hint="eastAsia" w:cs="仿宋"/>
          <w:bCs/>
          <w:highlight w:val="none"/>
        </w:rPr>
        <w:t>，向未中标的</w:t>
      </w:r>
      <w:r>
        <w:rPr>
          <w:rFonts w:hint="eastAsia" w:cs="仿宋"/>
          <w:highlight w:val="none"/>
        </w:rPr>
        <w:t>投标人</w:t>
      </w:r>
      <w:r>
        <w:rPr>
          <w:rFonts w:hint="eastAsia" w:cs="仿宋"/>
          <w:bCs/>
          <w:highlight w:val="none"/>
        </w:rPr>
        <w:t>退还投标保证金。</w:t>
      </w:r>
    </w:p>
    <w:p w14:paraId="734D5DC9">
      <w:pPr>
        <w:shd w:val="clear"/>
        <w:spacing w:line="360" w:lineRule="auto"/>
        <w:ind w:firstLine="480" w:firstLineChars="200"/>
        <w:rPr>
          <w:rFonts w:cs="仿宋"/>
          <w:highlight w:val="none"/>
        </w:rPr>
      </w:pPr>
      <w:r>
        <w:rPr>
          <w:rFonts w:hint="eastAsia" w:cs="仿宋"/>
          <w:highlight w:val="none"/>
        </w:rPr>
        <w:t>3.4.4 有下列情形之一的，投标保证金将不予退还：</w:t>
      </w:r>
    </w:p>
    <w:p w14:paraId="36123455">
      <w:pPr>
        <w:shd w:val="clear"/>
        <w:spacing w:line="360" w:lineRule="auto"/>
        <w:ind w:firstLine="480" w:firstLineChars="200"/>
        <w:rPr>
          <w:rFonts w:cs="仿宋"/>
          <w:highlight w:val="none"/>
        </w:rPr>
      </w:pPr>
      <w:r>
        <w:rPr>
          <w:rFonts w:hint="eastAsia" w:cs="仿宋"/>
          <w:highlight w:val="none"/>
        </w:rPr>
        <w:t>（1）投标人在规定的招标有效期内撤销或修改其投标文件；</w:t>
      </w:r>
    </w:p>
    <w:p w14:paraId="1DFC4174">
      <w:pPr>
        <w:shd w:val="clear"/>
        <w:spacing w:line="360" w:lineRule="auto"/>
        <w:ind w:firstLine="480" w:firstLineChars="200"/>
        <w:rPr>
          <w:rFonts w:cs="仿宋"/>
          <w:highlight w:val="none"/>
        </w:rPr>
      </w:pPr>
      <w:r>
        <w:rPr>
          <w:rFonts w:hint="eastAsia" w:cs="仿宋"/>
          <w:highlight w:val="none"/>
        </w:rPr>
        <w:t>（2）中标人在收到中标通知书后，无正当理由拒签合同协议书或未按招标文件规定提交履约担保。</w:t>
      </w:r>
    </w:p>
    <w:p w14:paraId="0940C7CD">
      <w:pPr>
        <w:pStyle w:val="59"/>
        <w:shd w:val="clear"/>
        <w:rPr>
          <w:highlight w:val="none"/>
        </w:rPr>
      </w:pPr>
      <w:bookmarkStart w:id="79" w:name="_Toc506105839"/>
      <w:bookmarkStart w:id="80" w:name="_Toc507936033"/>
      <w:r>
        <w:rPr>
          <w:rFonts w:hint="eastAsia"/>
          <w:highlight w:val="none"/>
        </w:rPr>
        <w:t>3.5 资格审查资料</w:t>
      </w:r>
      <w:bookmarkEnd w:id="79"/>
      <w:bookmarkEnd w:id="80"/>
    </w:p>
    <w:p w14:paraId="39E08FE1">
      <w:pPr>
        <w:shd w:val="clear"/>
        <w:spacing w:line="360" w:lineRule="auto"/>
        <w:ind w:firstLine="480" w:firstLineChars="200"/>
        <w:rPr>
          <w:rFonts w:cs="仿宋"/>
          <w:highlight w:val="none"/>
        </w:rPr>
      </w:pPr>
      <w:r>
        <w:rPr>
          <w:rFonts w:hint="eastAsia" w:cs="仿宋"/>
          <w:highlight w:val="none"/>
        </w:rPr>
        <w:t xml:space="preserve">3.5.1 </w:t>
      </w:r>
      <w:r>
        <w:rPr>
          <w:rFonts w:hint="eastAsia"/>
          <w:highlight w:val="none"/>
        </w:rPr>
        <w:t>营业执照、资质证书、体系认证、资信等级、人员资格证书、业绩合同、获奖证书</w:t>
      </w:r>
      <w:r>
        <w:rPr>
          <w:rFonts w:hint="eastAsia" w:cs="仿宋"/>
          <w:highlight w:val="none"/>
        </w:rPr>
        <w:t>等材料的复印件。</w:t>
      </w:r>
    </w:p>
    <w:p w14:paraId="3FC6BD80">
      <w:pPr>
        <w:shd w:val="clear"/>
        <w:spacing w:line="360" w:lineRule="auto"/>
        <w:ind w:firstLine="480" w:firstLineChars="200"/>
        <w:rPr>
          <w:rFonts w:hint="eastAsia"/>
          <w:highlight w:val="none"/>
        </w:rPr>
      </w:pPr>
      <w:r>
        <w:rPr>
          <w:rFonts w:hint="eastAsia" w:cs="仿宋"/>
          <w:highlight w:val="none"/>
        </w:rPr>
        <w:t xml:space="preserve">3.5.2 </w:t>
      </w:r>
      <w:r>
        <w:rPr>
          <w:rFonts w:hint="eastAsia"/>
          <w:highlight w:val="none"/>
        </w:rPr>
        <w:t>近3年财务审计报告</w:t>
      </w:r>
    </w:p>
    <w:p w14:paraId="61E2BF13">
      <w:pPr>
        <w:shd w:val="clear"/>
        <w:spacing w:line="360" w:lineRule="auto"/>
        <w:ind w:firstLine="480" w:firstLineChars="200"/>
        <w:rPr>
          <w:rFonts w:hint="eastAsia" w:cs="仿宋"/>
          <w:highlight w:val="none"/>
        </w:rPr>
      </w:pPr>
      <w:r>
        <w:rPr>
          <w:rFonts w:hint="eastAsia" w:cs="仿宋"/>
          <w:highlight w:val="none"/>
        </w:rPr>
        <w:t>3.5.3“近3年完成的业绩情况表”具体要求详见商务部分</w:t>
      </w:r>
    </w:p>
    <w:p w14:paraId="0ED67C5F">
      <w:pPr>
        <w:shd w:val="clear"/>
        <w:spacing w:line="360" w:lineRule="auto"/>
        <w:ind w:firstLine="480" w:firstLineChars="200"/>
        <w:rPr>
          <w:rFonts w:hint="eastAsia" w:cs="仿宋"/>
          <w:highlight w:val="none"/>
        </w:rPr>
      </w:pPr>
      <w:r>
        <w:rPr>
          <w:rFonts w:hint="eastAsia" w:cs="仿宋"/>
          <w:highlight w:val="none"/>
        </w:rPr>
        <w:t>3.5.4 “近3年发生的诉讼及仲裁情况”应说明相关情况，并附法院或仲裁机构作出的判决、裁决等有关法律文书复印件。</w:t>
      </w:r>
    </w:p>
    <w:p w14:paraId="34BEE188">
      <w:pPr>
        <w:shd w:val="clear"/>
        <w:spacing w:line="360" w:lineRule="auto"/>
        <w:ind w:firstLine="480" w:firstLineChars="200"/>
        <w:rPr>
          <w:rFonts w:cs="仿宋"/>
          <w:highlight w:val="none"/>
        </w:rPr>
      </w:pPr>
      <w:r>
        <w:rPr>
          <w:rFonts w:hint="eastAsia" w:cs="仿宋"/>
          <w:highlight w:val="none"/>
        </w:rPr>
        <w:t>3.5.4认为有必要提供的其他证明文件。</w:t>
      </w:r>
    </w:p>
    <w:p w14:paraId="7FD22AD0">
      <w:pPr>
        <w:pStyle w:val="59"/>
        <w:shd w:val="clear"/>
        <w:rPr>
          <w:rFonts w:hint="eastAsia"/>
          <w:highlight w:val="none"/>
        </w:rPr>
      </w:pPr>
      <w:bookmarkStart w:id="81" w:name="_Toc506105840"/>
      <w:bookmarkStart w:id="82" w:name="_Toc507936034"/>
      <w:r>
        <w:rPr>
          <w:rFonts w:hint="eastAsia"/>
          <w:highlight w:val="none"/>
        </w:rPr>
        <w:t>3.6 备选投标方案</w:t>
      </w:r>
      <w:bookmarkEnd w:id="81"/>
      <w:bookmarkEnd w:id="82"/>
    </w:p>
    <w:p w14:paraId="3F6A9C95">
      <w:pPr>
        <w:shd w:val="clear"/>
        <w:spacing w:line="360" w:lineRule="auto"/>
        <w:ind w:firstLine="480" w:firstLineChars="200"/>
        <w:rPr>
          <w:rFonts w:hint="eastAsia" w:cs="仿宋"/>
          <w:highlight w:val="none"/>
        </w:rPr>
      </w:pPr>
      <w:r>
        <w:rPr>
          <w:rFonts w:hint="eastAsia" w:cs="仿宋"/>
          <w:highlight w:val="none"/>
        </w:rPr>
        <w:t>3.6.1本次招标不接受备选方案。</w:t>
      </w:r>
    </w:p>
    <w:p w14:paraId="18BF92B0">
      <w:pPr>
        <w:pStyle w:val="59"/>
        <w:shd w:val="clear"/>
        <w:rPr>
          <w:highlight w:val="none"/>
        </w:rPr>
      </w:pPr>
      <w:bookmarkStart w:id="83" w:name="_Toc506105841"/>
      <w:bookmarkStart w:id="84" w:name="_Toc507936035"/>
      <w:r>
        <w:rPr>
          <w:rFonts w:hint="eastAsia"/>
          <w:highlight w:val="none"/>
        </w:rPr>
        <w:t>3.7 投标文件的编制</w:t>
      </w:r>
      <w:bookmarkEnd w:id="83"/>
      <w:bookmarkEnd w:id="84"/>
    </w:p>
    <w:p w14:paraId="14E53A1A">
      <w:pPr>
        <w:shd w:val="clear"/>
        <w:spacing w:line="360" w:lineRule="auto"/>
        <w:ind w:firstLine="480" w:firstLineChars="200"/>
        <w:rPr>
          <w:rFonts w:cs="仿宋"/>
          <w:highlight w:val="none"/>
        </w:rPr>
      </w:pPr>
      <w:r>
        <w:rPr>
          <w:rFonts w:hint="eastAsia" w:cs="仿宋"/>
          <w:highlight w:val="none"/>
        </w:rPr>
        <w:t>3.7.1投标文件应按《第五章投标文件格式及内容》要求进行编写。</w:t>
      </w:r>
    </w:p>
    <w:p w14:paraId="3D513D20">
      <w:pPr>
        <w:shd w:val="clear"/>
        <w:spacing w:line="360" w:lineRule="auto"/>
        <w:ind w:firstLine="480" w:firstLineChars="200"/>
        <w:rPr>
          <w:rFonts w:cs="仿宋"/>
          <w:highlight w:val="none"/>
        </w:rPr>
      </w:pPr>
      <w:r>
        <w:rPr>
          <w:rFonts w:hint="eastAsia" w:cs="仿宋"/>
          <w:highlight w:val="none"/>
        </w:rPr>
        <w:t>3.7.2投标文件应当对招标文件有关交货期、投标有效期、质量要求、技术要求、招标范围等实质性内容作出响应。</w:t>
      </w:r>
    </w:p>
    <w:p w14:paraId="20B2166B">
      <w:pPr>
        <w:shd w:val="clear"/>
        <w:spacing w:line="360" w:lineRule="auto"/>
        <w:ind w:firstLine="480" w:firstLineChars="200"/>
        <w:rPr>
          <w:rFonts w:cs="仿宋"/>
          <w:highlight w:val="none"/>
        </w:rPr>
      </w:pPr>
      <w:r>
        <w:rPr>
          <w:rFonts w:hint="eastAsia" w:cs="仿宋"/>
          <w:highlight w:val="none"/>
        </w:rPr>
        <w:t>3.7.3投标文件应用不褪色的材料书写或打印，并由法定代表人或其委托代理人签字或盖公章。签字或盖章的具体要求见投标人须知前附表。</w:t>
      </w:r>
    </w:p>
    <w:p w14:paraId="28F297B3">
      <w:pPr>
        <w:shd w:val="clear"/>
        <w:spacing w:line="360" w:lineRule="auto"/>
        <w:ind w:firstLine="480" w:firstLineChars="200"/>
        <w:rPr>
          <w:rFonts w:cs="仿宋"/>
          <w:highlight w:val="none"/>
        </w:rPr>
      </w:pPr>
      <w:r>
        <w:rPr>
          <w:rFonts w:hint="eastAsia" w:cs="仿宋"/>
          <w:highlight w:val="none"/>
        </w:rPr>
        <w:t>3.7.4投标文件正本壹份，副本</w:t>
      </w:r>
      <w:r>
        <w:rPr>
          <w:rFonts w:hint="eastAsia" w:cs="仿宋"/>
          <w:highlight w:val="none"/>
          <w:lang w:val="en-US" w:eastAsia="zh-CN"/>
        </w:rPr>
        <w:t>贰</w:t>
      </w:r>
      <w:r>
        <w:rPr>
          <w:rFonts w:hint="eastAsia" w:cs="仿宋"/>
          <w:highlight w:val="none"/>
        </w:rPr>
        <w:t>份。正本和副本的封面上应清楚地标记“正本”或“副本”的字样并加盖公章。当副本和正本不一致时，以正本为准。</w:t>
      </w:r>
    </w:p>
    <w:p w14:paraId="66C39B73">
      <w:pPr>
        <w:shd w:val="clear"/>
        <w:spacing w:line="360" w:lineRule="auto"/>
        <w:ind w:firstLine="480" w:firstLineChars="200"/>
        <w:rPr>
          <w:rFonts w:cs="仿宋"/>
          <w:highlight w:val="none"/>
        </w:rPr>
      </w:pPr>
      <w:r>
        <w:rPr>
          <w:rFonts w:hint="eastAsia" w:cs="仿宋"/>
          <w:highlight w:val="none"/>
        </w:rPr>
        <w:t>3.7.5投标文件的正本与副本应分别装订成册，并编制目录，详见投标人须知前附表。</w:t>
      </w:r>
    </w:p>
    <w:p w14:paraId="32842DA2">
      <w:pPr>
        <w:shd w:val="clear"/>
        <w:spacing w:line="360" w:lineRule="auto"/>
        <w:ind w:firstLine="480" w:firstLineChars="200"/>
        <w:rPr>
          <w:rFonts w:hint="eastAsia" w:cs="仿宋"/>
          <w:highlight w:val="none"/>
        </w:rPr>
      </w:pPr>
      <w:r>
        <w:rPr>
          <w:rFonts w:hint="eastAsia" w:cs="仿宋"/>
          <w:highlight w:val="none"/>
        </w:rPr>
        <w:t>3.7.6本次招标须提供应文件电子版（U盘一件），电子版与纸质版需一致，若不一致以纸质版为准。投标文件电子版文件格式为可编辑的Word“*.doc”、“*.docx”或Excel“*.xls”、“*.xlsx”，文字部分格式采用Word“*.doc”、“*.docx”，报价清单部分格式采用Excel“*.xls”、“*.xlsx”。</w:t>
      </w:r>
    </w:p>
    <w:p w14:paraId="35272C48">
      <w:pPr>
        <w:shd w:val="clear"/>
        <w:spacing w:line="360" w:lineRule="auto"/>
        <w:jc w:val="center"/>
        <w:rPr>
          <w:rStyle w:val="96"/>
          <w:rFonts w:hint="eastAsia"/>
          <w:highlight w:val="none"/>
        </w:rPr>
      </w:pPr>
      <w:r>
        <w:rPr>
          <w:rStyle w:val="96"/>
          <w:rFonts w:hint="eastAsia"/>
          <w:highlight w:val="none"/>
        </w:rPr>
        <w:t>4.投标</w:t>
      </w:r>
    </w:p>
    <w:p w14:paraId="4911A9E5">
      <w:pPr>
        <w:pStyle w:val="59"/>
        <w:shd w:val="clear"/>
        <w:rPr>
          <w:highlight w:val="none"/>
        </w:rPr>
      </w:pPr>
      <w:bookmarkStart w:id="85" w:name="_Toc507936037"/>
      <w:bookmarkStart w:id="86" w:name="_Toc506105844"/>
      <w:r>
        <w:rPr>
          <w:rFonts w:hint="eastAsia"/>
          <w:highlight w:val="none"/>
        </w:rPr>
        <w:t>4.1 投标文件的递交</w:t>
      </w:r>
      <w:bookmarkEnd w:id="85"/>
      <w:bookmarkEnd w:id="86"/>
    </w:p>
    <w:p w14:paraId="4E738382">
      <w:pPr>
        <w:shd w:val="clear"/>
        <w:spacing w:line="360" w:lineRule="auto"/>
        <w:ind w:firstLine="480" w:firstLineChars="200"/>
        <w:rPr>
          <w:rFonts w:cs="仿宋"/>
          <w:highlight w:val="none"/>
        </w:rPr>
      </w:pPr>
      <w:r>
        <w:rPr>
          <w:rFonts w:hint="eastAsia" w:cs="仿宋"/>
          <w:highlight w:val="none"/>
        </w:rPr>
        <w:t>4.1.1递交投标文件的截止时间和地点，详见投标人须知前附表。</w:t>
      </w:r>
    </w:p>
    <w:p w14:paraId="3E5E3920">
      <w:pPr>
        <w:shd w:val="clear"/>
        <w:spacing w:line="360" w:lineRule="auto"/>
        <w:ind w:firstLine="480" w:firstLineChars="200"/>
        <w:rPr>
          <w:rFonts w:cs="仿宋"/>
          <w:highlight w:val="none"/>
        </w:rPr>
      </w:pPr>
      <w:r>
        <w:rPr>
          <w:rFonts w:hint="eastAsia" w:cs="仿宋"/>
          <w:highlight w:val="none"/>
        </w:rPr>
        <w:t>4.1.2除投标人须知前附表另有规定外，所递交的投标文件不予退还。</w:t>
      </w:r>
    </w:p>
    <w:p w14:paraId="3BF94251">
      <w:pPr>
        <w:pStyle w:val="59"/>
        <w:shd w:val="clear"/>
        <w:rPr>
          <w:highlight w:val="none"/>
        </w:rPr>
      </w:pPr>
      <w:bookmarkStart w:id="87" w:name="_Toc506105845"/>
      <w:bookmarkStart w:id="88" w:name="_Toc507936038"/>
      <w:r>
        <w:rPr>
          <w:rFonts w:hint="eastAsia"/>
          <w:highlight w:val="none"/>
        </w:rPr>
        <w:t>4.2 投标文件的修改与撤回</w:t>
      </w:r>
      <w:bookmarkEnd w:id="87"/>
      <w:bookmarkEnd w:id="88"/>
    </w:p>
    <w:p w14:paraId="1441631E">
      <w:pPr>
        <w:shd w:val="clear"/>
        <w:spacing w:line="360" w:lineRule="auto"/>
        <w:ind w:firstLine="480" w:firstLineChars="200"/>
        <w:rPr>
          <w:rFonts w:cs="仿宋"/>
          <w:highlight w:val="none"/>
        </w:rPr>
      </w:pPr>
      <w:r>
        <w:rPr>
          <w:rFonts w:hint="eastAsia" w:cs="仿宋"/>
          <w:highlight w:val="none"/>
        </w:rPr>
        <w:t>4.2.1在递交投标文件截止时间前，投标人可以修改或撤回已递交的投标文件，但应以书面形式通知招标人。</w:t>
      </w:r>
    </w:p>
    <w:p w14:paraId="36C20C47">
      <w:pPr>
        <w:shd w:val="clear"/>
        <w:spacing w:line="360" w:lineRule="auto"/>
        <w:ind w:firstLine="480" w:firstLineChars="200"/>
        <w:rPr>
          <w:rFonts w:cs="仿宋"/>
          <w:highlight w:val="none"/>
        </w:rPr>
      </w:pPr>
      <w:r>
        <w:rPr>
          <w:rFonts w:hint="eastAsia" w:cs="仿宋"/>
          <w:highlight w:val="none"/>
        </w:rPr>
        <w:t>4.2.2投标人修改或撤回已递交投标文件应按要求签字或盖章。</w:t>
      </w:r>
    </w:p>
    <w:p w14:paraId="35D1AA96">
      <w:pPr>
        <w:shd w:val="clear"/>
        <w:spacing w:line="360" w:lineRule="auto"/>
        <w:ind w:firstLine="480" w:firstLineChars="200"/>
        <w:rPr>
          <w:rFonts w:cs="仿宋"/>
          <w:highlight w:val="none"/>
        </w:rPr>
      </w:pPr>
      <w:r>
        <w:rPr>
          <w:rFonts w:hint="eastAsia" w:cs="仿宋"/>
          <w:highlight w:val="none"/>
        </w:rPr>
        <w:t>4.2.3修改的内容为投标文件的组成部分。修改的投标文件应按照本章第3条、第4条规定进行编制、密封、标记和递交，并标明“修改”字样。</w:t>
      </w:r>
    </w:p>
    <w:p w14:paraId="3ECD22DD">
      <w:pPr>
        <w:pStyle w:val="64"/>
        <w:shd w:val="clear"/>
        <w:rPr>
          <w:rStyle w:val="96"/>
          <w:rFonts w:hint="eastAsia"/>
          <w:b/>
          <w:bCs/>
          <w:highlight w:val="none"/>
        </w:rPr>
      </w:pPr>
      <w:bookmarkStart w:id="89" w:name="_Toc507936039"/>
      <w:bookmarkStart w:id="90" w:name="_Toc506105846"/>
      <w:r>
        <w:rPr>
          <w:rStyle w:val="96"/>
          <w:rFonts w:hint="eastAsia"/>
          <w:b/>
          <w:bCs/>
          <w:highlight w:val="none"/>
        </w:rPr>
        <w:t>5.</w:t>
      </w:r>
      <w:bookmarkEnd w:id="89"/>
      <w:bookmarkEnd w:id="90"/>
      <w:r>
        <w:rPr>
          <w:rStyle w:val="96"/>
          <w:rFonts w:hint="eastAsia"/>
          <w:b/>
          <w:bCs/>
          <w:highlight w:val="none"/>
        </w:rPr>
        <w:t>开标</w:t>
      </w:r>
    </w:p>
    <w:p w14:paraId="54414B2A">
      <w:pPr>
        <w:pStyle w:val="59"/>
        <w:shd w:val="clear"/>
        <w:rPr>
          <w:rFonts w:hint="eastAsia"/>
          <w:highlight w:val="none"/>
        </w:rPr>
      </w:pPr>
      <w:bookmarkStart w:id="91" w:name="_Toc506105847"/>
      <w:bookmarkStart w:id="92" w:name="_Toc507936040"/>
      <w:r>
        <w:rPr>
          <w:rFonts w:hint="eastAsia"/>
          <w:highlight w:val="none"/>
        </w:rPr>
        <w:t xml:space="preserve">5.1 </w:t>
      </w:r>
      <w:bookmarkEnd w:id="91"/>
      <w:bookmarkEnd w:id="92"/>
      <w:bookmarkStart w:id="93" w:name="_Toc506105848"/>
      <w:r>
        <w:rPr>
          <w:rFonts w:hint="eastAsia"/>
          <w:highlight w:val="none"/>
        </w:rPr>
        <w:t>开标</w:t>
      </w:r>
    </w:p>
    <w:p w14:paraId="0CD25B95">
      <w:pPr>
        <w:shd w:val="clear"/>
        <w:spacing w:line="360" w:lineRule="auto"/>
        <w:rPr>
          <w:rFonts w:hint="eastAsia" w:cs="仿宋"/>
          <w:highlight w:val="none"/>
        </w:rPr>
      </w:pPr>
      <w:r>
        <w:rPr>
          <w:rFonts w:hint="eastAsia" w:cs="仿宋"/>
          <w:highlight w:val="none"/>
        </w:rPr>
        <w:t>5.1.1</w:t>
      </w:r>
      <w:r>
        <w:rPr>
          <w:rFonts w:hint="eastAsia"/>
          <w:highlight w:val="none"/>
        </w:rPr>
        <w:t>开标时间和方式：</w:t>
      </w:r>
      <w:r>
        <w:rPr>
          <w:rFonts w:hint="eastAsia" w:cs="仿宋"/>
          <w:highlight w:val="none"/>
        </w:rPr>
        <w:t>详见投标人须知前附表。</w:t>
      </w:r>
    </w:p>
    <w:p w14:paraId="415CEEB7">
      <w:pPr>
        <w:shd w:val="clear"/>
        <w:spacing w:line="360" w:lineRule="auto"/>
        <w:rPr>
          <w:rFonts w:hint="eastAsia" w:cs="仿宋"/>
          <w:highlight w:val="none"/>
        </w:rPr>
      </w:pPr>
      <w:r>
        <w:rPr>
          <w:rFonts w:hint="eastAsia" w:cs="仿宋"/>
          <w:highlight w:val="none"/>
        </w:rPr>
        <w:t>5.1.2</w:t>
      </w:r>
      <w:r>
        <w:rPr>
          <w:rFonts w:hint="eastAsia"/>
          <w:highlight w:val="none"/>
        </w:rPr>
        <w:t>投标人证件及业绩的提交：</w:t>
      </w:r>
      <w:r>
        <w:rPr>
          <w:rFonts w:hint="eastAsia" w:cs="仿宋"/>
          <w:highlight w:val="none"/>
        </w:rPr>
        <w:t>详见投标人须知前附表。</w:t>
      </w:r>
    </w:p>
    <w:p w14:paraId="5CAFCA63">
      <w:pPr>
        <w:shd w:val="clear"/>
        <w:spacing w:line="360" w:lineRule="auto"/>
        <w:rPr>
          <w:rFonts w:hint="eastAsia" w:cs="仿宋"/>
          <w:highlight w:val="none"/>
        </w:rPr>
      </w:pPr>
      <w:r>
        <w:rPr>
          <w:rFonts w:hint="eastAsia" w:cs="仿宋"/>
          <w:highlight w:val="none"/>
        </w:rPr>
        <w:t>5.1.3</w:t>
      </w:r>
      <w:r>
        <w:rPr>
          <w:rFonts w:hint="eastAsia"/>
          <w:highlight w:val="none"/>
        </w:rPr>
        <w:t>开标时投标人需要携带的证件：</w:t>
      </w:r>
      <w:r>
        <w:rPr>
          <w:rFonts w:hint="eastAsia" w:cs="仿宋"/>
          <w:highlight w:val="none"/>
        </w:rPr>
        <w:t>详见投标人须知前附表。</w:t>
      </w:r>
    </w:p>
    <w:bookmarkEnd w:id="93"/>
    <w:p w14:paraId="6AB2A250">
      <w:pPr>
        <w:pStyle w:val="64"/>
        <w:shd w:val="clear"/>
        <w:rPr>
          <w:rStyle w:val="96"/>
          <w:rFonts w:hint="eastAsia"/>
          <w:b/>
          <w:bCs/>
          <w:highlight w:val="none"/>
        </w:rPr>
      </w:pPr>
      <w:bookmarkStart w:id="94" w:name="_Toc506105849"/>
      <w:bookmarkStart w:id="95" w:name="_Toc507936041"/>
      <w:r>
        <w:rPr>
          <w:rStyle w:val="96"/>
          <w:rFonts w:hint="eastAsia"/>
          <w:b/>
          <w:bCs/>
          <w:highlight w:val="none"/>
        </w:rPr>
        <w:t>6.</w:t>
      </w:r>
      <w:bookmarkEnd w:id="94"/>
      <w:bookmarkEnd w:id="95"/>
      <w:r>
        <w:rPr>
          <w:rStyle w:val="96"/>
          <w:rFonts w:hint="eastAsia"/>
          <w:b/>
          <w:bCs/>
          <w:highlight w:val="none"/>
        </w:rPr>
        <w:t>评标</w:t>
      </w:r>
    </w:p>
    <w:p w14:paraId="5BA1F961">
      <w:pPr>
        <w:pStyle w:val="59"/>
        <w:shd w:val="clear"/>
        <w:rPr>
          <w:highlight w:val="none"/>
        </w:rPr>
      </w:pPr>
      <w:bookmarkStart w:id="96" w:name="_Toc506105850"/>
      <w:bookmarkStart w:id="97" w:name="_Toc507936042"/>
      <w:r>
        <w:rPr>
          <w:rFonts w:hint="eastAsia"/>
          <w:highlight w:val="none"/>
        </w:rPr>
        <w:t>6.1 评标委员会</w:t>
      </w:r>
      <w:bookmarkEnd w:id="96"/>
      <w:bookmarkEnd w:id="97"/>
    </w:p>
    <w:p w14:paraId="53E06D88">
      <w:pPr>
        <w:shd w:val="clear"/>
        <w:spacing w:line="360" w:lineRule="auto"/>
        <w:ind w:firstLine="480" w:firstLineChars="200"/>
        <w:rPr>
          <w:rFonts w:cs="仿宋"/>
          <w:highlight w:val="none"/>
        </w:rPr>
      </w:pPr>
      <w:r>
        <w:rPr>
          <w:rFonts w:hint="eastAsia" w:cs="仿宋"/>
          <w:highlight w:val="none"/>
        </w:rPr>
        <w:t>评标由招标人依法组建的评标委员会负责。评标委员会由招标人熟悉相关业务的代表，以及有关技术、经济等方面的专家组成，评标委员会成员人数为5人及以上单数。</w:t>
      </w:r>
    </w:p>
    <w:p w14:paraId="6C3B7B7C">
      <w:pPr>
        <w:pStyle w:val="59"/>
        <w:shd w:val="clear"/>
        <w:rPr>
          <w:highlight w:val="none"/>
        </w:rPr>
      </w:pPr>
      <w:bookmarkStart w:id="98" w:name="_Toc506105851"/>
      <w:bookmarkStart w:id="99" w:name="_Toc507936043"/>
      <w:r>
        <w:rPr>
          <w:rFonts w:hint="eastAsia"/>
          <w:highlight w:val="none"/>
        </w:rPr>
        <w:t>6.2 评标原则</w:t>
      </w:r>
      <w:bookmarkEnd w:id="98"/>
      <w:bookmarkEnd w:id="99"/>
    </w:p>
    <w:p w14:paraId="2DC90565">
      <w:pPr>
        <w:pStyle w:val="57"/>
        <w:shd w:val="clear"/>
        <w:spacing w:before="156"/>
        <w:jc w:val="both"/>
        <w:rPr>
          <w:rFonts w:hint="eastAsia" w:ascii="宋体" w:hAnsi="宋体" w:eastAsia="宋体" w:cs="仿宋"/>
          <w:b w:val="0"/>
          <w:kern w:val="0"/>
          <w:sz w:val="24"/>
          <w:szCs w:val="24"/>
          <w:highlight w:val="none"/>
        </w:rPr>
      </w:pPr>
      <w:r>
        <w:rPr>
          <w:rFonts w:hint="eastAsia" w:ascii="宋体" w:hAnsi="宋体" w:eastAsia="宋体" w:cs="仿宋"/>
          <w:b w:val="0"/>
          <w:kern w:val="0"/>
          <w:sz w:val="24"/>
          <w:szCs w:val="24"/>
          <w:highlight w:val="none"/>
        </w:rPr>
        <w:t>评标活动遵循公平、公正、科学和择优的原则。</w:t>
      </w:r>
    </w:p>
    <w:p w14:paraId="1D8A2B48">
      <w:pPr>
        <w:pStyle w:val="59"/>
        <w:shd w:val="clear"/>
        <w:rPr>
          <w:highlight w:val="none"/>
        </w:rPr>
      </w:pPr>
      <w:bookmarkStart w:id="100" w:name="_Toc506105852"/>
      <w:bookmarkStart w:id="101" w:name="_Toc507936044"/>
      <w:r>
        <w:rPr>
          <w:rFonts w:hint="eastAsia"/>
          <w:highlight w:val="none"/>
        </w:rPr>
        <w:t>6.3 评标方法</w:t>
      </w:r>
      <w:bookmarkEnd w:id="100"/>
      <w:bookmarkEnd w:id="101"/>
    </w:p>
    <w:p w14:paraId="6330575A">
      <w:pPr>
        <w:pStyle w:val="57"/>
        <w:shd w:val="clear"/>
        <w:spacing w:before="156"/>
        <w:jc w:val="both"/>
        <w:rPr>
          <w:rFonts w:hint="eastAsia" w:ascii="宋体" w:hAnsi="宋体" w:eastAsia="宋体" w:cs="仿宋"/>
          <w:b w:val="0"/>
          <w:kern w:val="0"/>
          <w:sz w:val="24"/>
          <w:szCs w:val="24"/>
          <w:highlight w:val="none"/>
        </w:rPr>
      </w:pPr>
      <w:bookmarkStart w:id="102" w:name="_Toc506886218"/>
      <w:r>
        <w:rPr>
          <w:rFonts w:hint="eastAsia" w:ascii="宋体" w:hAnsi="宋体" w:eastAsia="宋体" w:cs="仿宋"/>
          <w:b w:val="0"/>
          <w:kern w:val="0"/>
          <w:sz w:val="24"/>
          <w:szCs w:val="24"/>
          <w:highlight w:val="none"/>
        </w:rPr>
        <w:t xml:space="preserve">    按综合评标法进行评标。</w:t>
      </w:r>
      <w:bookmarkEnd w:id="102"/>
    </w:p>
    <w:p w14:paraId="387C3327">
      <w:pPr>
        <w:pStyle w:val="59"/>
        <w:shd w:val="clear"/>
        <w:rPr>
          <w:highlight w:val="none"/>
        </w:rPr>
      </w:pPr>
      <w:bookmarkStart w:id="103" w:name="_Toc507936045"/>
      <w:bookmarkStart w:id="104" w:name="_Toc506105853"/>
      <w:r>
        <w:rPr>
          <w:rFonts w:hint="eastAsia"/>
          <w:highlight w:val="none"/>
        </w:rPr>
        <w:t>6.4 评标程序及内容</w:t>
      </w:r>
      <w:bookmarkEnd w:id="103"/>
      <w:bookmarkEnd w:id="104"/>
    </w:p>
    <w:p w14:paraId="41D6D36E">
      <w:pPr>
        <w:shd w:val="clear"/>
        <w:spacing w:line="360" w:lineRule="auto"/>
        <w:ind w:firstLine="480" w:firstLineChars="200"/>
        <w:rPr>
          <w:rFonts w:hint="eastAsia" w:cs="仿宋"/>
          <w:highlight w:val="none"/>
        </w:rPr>
      </w:pPr>
      <w:r>
        <w:rPr>
          <w:rFonts w:hint="eastAsia" w:cs="仿宋"/>
          <w:highlight w:val="none"/>
        </w:rPr>
        <w:t>6.4.1投标文件初步评标</w:t>
      </w:r>
    </w:p>
    <w:p w14:paraId="1A2A8E43">
      <w:pPr>
        <w:shd w:val="clear"/>
        <w:spacing w:line="360" w:lineRule="auto"/>
        <w:ind w:firstLine="480" w:firstLineChars="200"/>
        <w:rPr>
          <w:rFonts w:cs="仿宋"/>
          <w:highlight w:val="none"/>
        </w:rPr>
      </w:pPr>
      <w:r>
        <w:rPr>
          <w:rFonts w:hint="eastAsia" w:cs="仿宋"/>
          <w:highlight w:val="none"/>
        </w:rPr>
        <w:t>6.4.1.1资格审查---是否满足对投标人的资格要求。</w:t>
      </w:r>
    </w:p>
    <w:p w14:paraId="508E5C64">
      <w:pPr>
        <w:shd w:val="clear"/>
        <w:spacing w:line="360" w:lineRule="auto"/>
        <w:ind w:firstLine="480" w:firstLineChars="200"/>
        <w:rPr>
          <w:rFonts w:cs="仿宋"/>
          <w:highlight w:val="none"/>
        </w:rPr>
      </w:pPr>
      <w:r>
        <w:rPr>
          <w:rFonts w:hint="eastAsia" w:cs="仿宋"/>
          <w:highlight w:val="none"/>
        </w:rPr>
        <w:t>6.4.1.2报价及报价组成表有计算或汇总错误时，按以下原则修正：</w:t>
      </w:r>
    </w:p>
    <w:p w14:paraId="2EE48A8F">
      <w:pPr>
        <w:shd w:val="clear"/>
        <w:spacing w:line="360" w:lineRule="auto"/>
        <w:ind w:firstLine="480" w:firstLineChars="200"/>
        <w:rPr>
          <w:rFonts w:cs="仿宋"/>
          <w:highlight w:val="none"/>
        </w:rPr>
      </w:pPr>
      <w:r>
        <w:rPr>
          <w:rFonts w:hint="eastAsia" w:cs="仿宋"/>
          <w:highlight w:val="none"/>
        </w:rPr>
        <w:t>（1）报价清单中的单价乘数量的乘积与该项目的合价不符时，应以单价为准，改正合价。</w:t>
      </w:r>
    </w:p>
    <w:p w14:paraId="080E4B8C">
      <w:pPr>
        <w:shd w:val="clear"/>
        <w:spacing w:line="360" w:lineRule="auto"/>
        <w:ind w:firstLine="480" w:firstLineChars="200"/>
        <w:rPr>
          <w:rFonts w:cs="仿宋"/>
          <w:highlight w:val="none"/>
        </w:rPr>
      </w:pPr>
      <w:r>
        <w:rPr>
          <w:rFonts w:hint="eastAsia" w:cs="仿宋"/>
          <w:highlight w:val="none"/>
        </w:rPr>
        <w:t>（2）若报价汇总表中的金额与相应的各分项报价清单中的合计金额不符时，以修正后的各分项报价清单中的合计金额为准，改正总报价。</w:t>
      </w:r>
    </w:p>
    <w:p w14:paraId="22409C4E">
      <w:pPr>
        <w:shd w:val="clear"/>
        <w:spacing w:line="360" w:lineRule="auto"/>
        <w:ind w:firstLine="480" w:firstLineChars="200"/>
        <w:rPr>
          <w:rFonts w:cs="仿宋"/>
          <w:highlight w:val="none"/>
        </w:rPr>
      </w:pPr>
      <w:r>
        <w:rPr>
          <w:rFonts w:hint="eastAsia" w:cs="仿宋"/>
          <w:highlight w:val="none"/>
        </w:rPr>
        <w:t>（3）评标委员会按以上原则对报价进行修正，修正的价格经投标人书面确认后具有约束力。</w:t>
      </w:r>
    </w:p>
    <w:p w14:paraId="14CD7D7E">
      <w:pPr>
        <w:shd w:val="clear"/>
        <w:spacing w:line="360" w:lineRule="auto"/>
        <w:ind w:firstLine="480" w:firstLineChars="200"/>
        <w:rPr>
          <w:rFonts w:cs="仿宋"/>
          <w:highlight w:val="none"/>
        </w:rPr>
      </w:pPr>
      <w:r>
        <w:rPr>
          <w:rFonts w:hint="eastAsia" w:cs="仿宋"/>
          <w:highlight w:val="none"/>
        </w:rPr>
        <w:t>6.4.1.3对需要文件进行审查，有以下情形之一的，为重大偏差，其投标文件符合性审查不通过</w:t>
      </w:r>
      <w:r>
        <w:rPr>
          <w:rFonts w:hint="eastAsia" w:cs="仿宋"/>
          <w:bCs/>
          <w:highlight w:val="none"/>
        </w:rPr>
        <w:t>作无效处理</w:t>
      </w:r>
      <w:r>
        <w:rPr>
          <w:rFonts w:hint="eastAsia" w:cs="仿宋"/>
          <w:highlight w:val="none"/>
        </w:rPr>
        <w:t>，不再进行详细评标：</w:t>
      </w:r>
    </w:p>
    <w:p w14:paraId="46DE0A4E">
      <w:pPr>
        <w:shd w:val="clear"/>
        <w:spacing w:line="360" w:lineRule="auto"/>
        <w:ind w:firstLine="480" w:firstLineChars="200"/>
        <w:rPr>
          <w:rFonts w:cs="仿宋"/>
          <w:bCs/>
          <w:highlight w:val="none"/>
        </w:rPr>
      </w:pPr>
      <w:r>
        <w:rPr>
          <w:rFonts w:hint="eastAsia" w:cs="仿宋"/>
          <w:bCs/>
          <w:highlight w:val="none"/>
        </w:rPr>
        <w:t>（1）提供的资格审查资料不满足招标文件要求的；</w:t>
      </w:r>
    </w:p>
    <w:p w14:paraId="1133D3C2">
      <w:pPr>
        <w:shd w:val="clear"/>
        <w:spacing w:line="360" w:lineRule="auto"/>
        <w:ind w:firstLine="480" w:firstLineChars="200"/>
        <w:rPr>
          <w:rFonts w:cs="仿宋"/>
          <w:bCs/>
          <w:highlight w:val="none"/>
        </w:rPr>
      </w:pPr>
      <w:r>
        <w:rPr>
          <w:rFonts w:hint="eastAsia" w:cs="仿宋"/>
          <w:bCs/>
          <w:highlight w:val="none"/>
        </w:rPr>
        <w:t>（2）没有按照招标文件要求缴纳投标保证金或提供银行保函的；</w:t>
      </w:r>
    </w:p>
    <w:p w14:paraId="631350B2">
      <w:pPr>
        <w:shd w:val="clear"/>
        <w:spacing w:line="360" w:lineRule="auto"/>
        <w:ind w:firstLine="480" w:firstLineChars="200"/>
        <w:rPr>
          <w:rFonts w:cs="仿宋"/>
          <w:bCs/>
          <w:highlight w:val="none"/>
        </w:rPr>
      </w:pPr>
      <w:r>
        <w:rPr>
          <w:rFonts w:hint="eastAsia" w:cs="仿宋"/>
          <w:bCs/>
          <w:highlight w:val="none"/>
        </w:rPr>
        <w:t>（3）投标文件未按招标文件要求盖章和签署的；</w:t>
      </w:r>
    </w:p>
    <w:p w14:paraId="2881FDAB">
      <w:pPr>
        <w:shd w:val="clear"/>
        <w:spacing w:line="360" w:lineRule="auto"/>
        <w:ind w:firstLine="480" w:firstLineChars="200"/>
        <w:rPr>
          <w:rFonts w:cs="仿宋"/>
          <w:bCs/>
          <w:highlight w:val="none"/>
        </w:rPr>
      </w:pPr>
      <w:r>
        <w:rPr>
          <w:rFonts w:hint="eastAsia" w:cs="仿宋"/>
          <w:bCs/>
          <w:highlight w:val="none"/>
        </w:rPr>
        <w:t>（4）经澄清，对报价的错误不接受修正的；</w:t>
      </w:r>
    </w:p>
    <w:p w14:paraId="4429E800">
      <w:pPr>
        <w:shd w:val="clear"/>
        <w:spacing w:line="360" w:lineRule="auto"/>
        <w:ind w:firstLine="480" w:firstLineChars="200"/>
        <w:rPr>
          <w:rFonts w:cs="仿宋"/>
          <w:bCs/>
          <w:highlight w:val="none"/>
        </w:rPr>
      </w:pPr>
      <w:r>
        <w:rPr>
          <w:rFonts w:hint="eastAsia" w:cs="仿宋"/>
          <w:bCs/>
          <w:highlight w:val="none"/>
        </w:rPr>
        <w:t>（5）对招标范围和工作内容有实质性偏差的；</w:t>
      </w:r>
    </w:p>
    <w:p w14:paraId="426CE907">
      <w:pPr>
        <w:shd w:val="clear"/>
        <w:spacing w:line="360" w:lineRule="auto"/>
        <w:ind w:firstLine="480" w:firstLineChars="200"/>
        <w:rPr>
          <w:rFonts w:cs="仿宋"/>
          <w:bCs/>
          <w:highlight w:val="none"/>
        </w:rPr>
      </w:pPr>
      <w:r>
        <w:rPr>
          <w:rFonts w:hint="eastAsia" w:cs="仿宋"/>
          <w:bCs/>
          <w:highlight w:val="none"/>
        </w:rPr>
        <w:t>（6）主要性能指标达不到招标文件要求的</w:t>
      </w:r>
    </w:p>
    <w:p w14:paraId="79F8EAB9">
      <w:pPr>
        <w:shd w:val="clear"/>
        <w:spacing w:line="360" w:lineRule="auto"/>
        <w:ind w:firstLine="480" w:firstLineChars="200"/>
        <w:rPr>
          <w:rFonts w:cs="仿宋"/>
          <w:bCs/>
          <w:highlight w:val="none"/>
        </w:rPr>
      </w:pPr>
      <w:r>
        <w:rPr>
          <w:rFonts w:hint="eastAsia" w:cs="仿宋"/>
          <w:bCs/>
          <w:highlight w:val="none"/>
        </w:rPr>
        <w:t>（7））有违反法律法规、弄虚作假的。</w:t>
      </w:r>
    </w:p>
    <w:p w14:paraId="4B7F2808">
      <w:pPr>
        <w:shd w:val="clear"/>
        <w:spacing w:line="360" w:lineRule="auto"/>
        <w:ind w:firstLine="480" w:firstLineChars="200"/>
        <w:rPr>
          <w:rFonts w:cs="仿宋"/>
          <w:highlight w:val="none"/>
        </w:rPr>
      </w:pPr>
      <w:r>
        <w:rPr>
          <w:rFonts w:hint="eastAsia" w:cs="仿宋"/>
          <w:highlight w:val="none"/>
        </w:rPr>
        <w:t>6.4.1.4投标文件澄清</w:t>
      </w:r>
    </w:p>
    <w:p w14:paraId="33AF0958">
      <w:pPr>
        <w:shd w:val="clear"/>
        <w:spacing w:line="360" w:lineRule="auto"/>
        <w:ind w:firstLine="480" w:firstLineChars="200"/>
        <w:rPr>
          <w:rFonts w:cs="仿宋"/>
          <w:highlight w:val="none"/>
        </w:rPr>
      </w:pPr>
      <w:r>
        <w:rPr>
          <w:rFonts w:hint="eastAsia" w:cs="仿宋"/>
          <w:highlight w:val="none"/>
        </w:rPr>
        <w:t>（1）投标文件中有含义不明确的内容、明显文字或者计算错误，评标委员会认为需要投标人做出必要的澄清、说明、或者对细微偏差进行补正的，提出澄清问题。</w:t>
      </w:r>
    </w:p>
    <w:p w14:paraId="2D0F03DB">
      <w:pPr>
        <w:shd w:val="clear"/>
        <w:spacing w:line="360" w:lineRule="auto"/>
        <w:ind w:firstLine="480" w:firstLineChars="200"/>
        <w:rPr>
          <w:rFonts w:cs="仿宋"/>
          <w:highlight w:val="none"/>
        </w:rPr>
      </w:pPr>
      <w:r>
        <w:rPr>
          <w:rFonts w:hint="eastAsia" w:cs="仿宋"/>
          <w:highlight w:val="none"/>
        </w:rPr>
        <w:t>（2）评标委员会的澄清问题不得要求或提出对投标文件实质性内容进行修改，澄清问题由评标委员会主任确认后发出。</w:t>
      </w:r>
    </w:p>
    <w:p w14:paraId="36EFAF86">
      <w:pPr>
        <w:shd w:val="clear"/>
        <w:spacing w:line="360" w:lineRule="auto"/>
        <w:ind w:firstLine="480" w:firstLineChars="200"/>
        <w:rPr>
          <w:rFonts w:cs="仿宋"/>
          <w:highlight w:val="none"/>
        </w:rPr>
      </w:pPr>
      <w:r>
        <w:rPr>
          <w:rFonts w:hint="eastAsia" w:cs="仿宋"/>
          <w:highlight w:val="none"/>
        </w:rPr>
        <w:t>（3）投标人的答复由其授权代表签字、加盖公章、签署日期后按要求发送，不得对原投标文件实质性内容进行修改，投标人的书面澄清、说明和补正属于投标文件的组成部分。</w:t>
      </w:r>
    </w:p>
    <w:p w14:paraId="07D31A87">
      <w:pPr>
        <w:shd w:val="clear"/>
        <w:spacing w:line="360" w:lineRule="auto"/>
        <w:ind w:firstLine="480" w:firstLineChars="200"/>
        <w:rPr>
          <w:rFonts w:cs="仿宋"/>
          <w:highlight w:val="none"/>
        </w:rPr>
      </w:pPr>
      <w:r>
        <w:rPr>
          <w:rFonts w:hint="eastAsia" w:cs="仿宋"/>
          <w:highlight w:val="none"/>
        </w:rPr>
        <w:t>（4）评标委员会不接受投标人主动提出的澄清、说明。</w:t>
      </w:r>
    </w:p>
    <w:p w14:paraId="18C49B10">
      <w:pPr>
        <w:shd w:val="clear"/>
        <w:spacing w:line="360" w:lineRule="auto"/>
        <w:ind w:firstLine="480" w:firstLineChars="200"/>
        <w:rPr>
          <w:rFonts w:cs="仿宋"/>
          <w:highlight w:val="none"/>
        </w:rPr>
      </w:pPr>
      <w:r>
        <w:rPr>
          <w:rFonts w:hint="eastAsia" w:cs="仿宋"/>
          <w:highlight w:val="none"/>
        </w:rPr>
        <w:t>（5）评标委员会的澄清问题和投标人的答复均以书面方式进行。</w:t>
      </w:r>
    </w:p>
    <w:p w14:paraId="61EB02B1">
      <w:pPr>
        <w:shd w:val="clear"/>
        <w:spacing w:line="360" w:lineRule="auto"/>
        <w:ind w:firstLine="480" w:firstLineChars="200"/>
        <w:rPr>
          <w:rFonts w:hint="eastAsia" w:cs="仿宋"/>
          <w:highlight w:val="none"/>
        </w:rPr>
      </w:pPr>
      <w:r>
        <w:rPr>
          <w:rFonts w:hint="eastAsia" w:cs="仿宋"/>
          <w:highlight w:val="none"/>
        </w:rPr>
        <w:t>6.4.2投标文件详细评标</w:t>
      </w:r>
    </w:p>
    <w:p w14:paraId="3FD7DEAD">
      <w:pPr>
        <w:shd w:val="clear"/>
        <w:spacing w:line="360" w:lineRule="auto"/>
        <w:ind w:firstLine="480" w:firstLineChars="200"/>
        <w:rPr>
          <w:rFonts w:cs="仿宋"/>
          <w:highlight w:val="none"/>
        </w:rPr>
      </w:pPr>
      <w:r>
        <w:rPr>
          <w:rFonts w:hint="eastAsia" w:cs="仿宋"/>
          <w:highlight w:val="none"/>
        </w:rPr>
        <w:t>评标委员会成员对通过初步评标的投标文件进行详细评标与打分排序。</w:t>
      </w:r>
    </w:p>
    <w:p w14:paraId="1268D868">
      <w:pPr>
        <w:shd w:val="clear"/>
        <w:spacing w:line="360" w:lineRule="auto"/>
        <w:ind w:firstLine="480" w:firstLineChars="200"/>
        <w:rPr>
          <w:rFonts w:cs="仿宋"/>
          <w:highlight w:val="none"/>
        </w:rPr>
      </w:pPr>
      <w:r>
        <w:rPr>
          <w:rFonts w:hint="eastAsia" w:cs="仿宋"/>
          <w:highlight w:val="none"/>
        </w:rPr>
        <w:t>6.4.3评标结果</w:t>
      </w:r>
    </w:p>
    <w:p w14:paraId="0AC67ABF">
      <w:pPr>
        <w:shd w:val="clear"/>
        <w:spacing w:line="360" w:lineRule="auto"/>
        <w:ind w:firstLine="480" w:firstLineChars="200"/>
        <w:rPr>
          <w:rFonts w:cs="仿宋"/>
          <w:highlight w:val="none"/>
        </w:rPr>
      </w:pPr>
      <w:r>
        <w:rPr>
          <w:rFonts w:hint="eastAsia" w:cs="仿宋"/>
          <w:highlight w:val="none"/>
        </w:rPr>
        <w:t>6.4.3.1评标委员会按照评标办法推荐中标候选人，具体的中标候选人数量见第三章5节2款。</w:t>
      </w:r>
    </w:p>
    <w:p w14:paraId="322CA249">
      <w:pPr>
        <w:shd w:val="clear"/>
        <w:spacing w:line="360" w:lineRule="auto"/>
        <w:ind w:firstLine="480" w:firstLineChars="200"/>
        <w:rPr>
          <w:rFonts w:cs="仿宋"/>
          <w:highlight w:val="none"/>
        </w:rPr>
      </w:pPr>
      <w:r>
        <w:rPr>
          <w:rFonts w:hint="eastAsia" w:cs="仿宋"/>
          <w:highlight w:val="none"/>
        </w:rPr>
        <w:t>6.4.3.2评标委员会完成评标后，向招标人提交评标报告。</w:t>
      </w:r>
    </w:p>
    <w:p w14:paraId="736830AC">
      <w:pPr>
        <w:pStyle w:val="64"/>
        <w:shd w:val="clear"/>
        <w:rPr>
          <w:rStyle w:val="96"/>
          <w:b/>
          <w:bCs/>
          <w:highlight w:val="none"/>
        </w:rPr>
      </w:pPr>
      <w:bookmarkStart w:id="105" w:name="_Toc506105854"/>
      <w:bookmarkStart w:id="106" w:name="_Toc507936046"/>
      <w:r>
        <w:rPr>
          <w:rStyle w:val="96"/>
          <w:rFonts w:hint="eastAsia"/>
          <w:b/>
          <w:bCs/>
          <w:highlight w:val="none"/>
        </w:rPr>
        <w:t>7.合同授予</w:t>
      </w:r>
      <w:bookmarkEnd w:id="105"/>
      <w:bookmarkEnd w:id="106"/>
    </w:p>
    <w:p w14:paraId="3D64AE01">
      <w:pPr>
        <w:shd w:val="clear"/>
        <w:spacing w:line="360" w:lineRule="auto"/>
        <w:ind w:firstLine="480" w:firstLineChars="200"/>
        <w:rPr>
          <w:rFonts w:hint="eastAsia" w:cs="仿宋"/>
          <w:highlight w:val="none"/>
        </w:rPr>
      </w:pPr>
      <w:r>
        <w:rPr>
          <w:rFonts w:hint="eastAsia" w:cs="仿宋"/>
          <w:highlight w:val="none"/>
        </w:rPr>
        <w:t>7.1中标候选人履约能力审查</w:t>
      </w:r>
    </w:p>
    <w:p w14:paraId="5997151B">
      <w:pPr>
        <w:shd w:val="clear"/>
        <w:spacing w:line="360" w:lineRule="auto"/>
        <w:ind w:firstLine="480" w:firstLineChars="200"/>
        <w:rPr>
          <w:rFonts w:hint="eastAsia" w:cs="仿宋"/>
          <w:highlight w:val="none"/>
        </w:rPr>
      </w:pPr>
      <w:r>
        <w:rPr>
          <w:rFonts w:hint="eastAsia" w:cs="仿宋"/>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0FEF1B6">
      <w:pPr>
        <w:shd w:val="clear"/>
        <w:spacing w:line="360" w:lineRule="auto"/>
        <w:ind w:firstLine="480" w:firstLineChars="200"/>
        <w:rPr>
          <w:rFonts w:hint="eastAsia" w:cs="仿宋"/>
          <w:highlight w:val="none"/>
        </w:rPr>
      </w:pPr>
      <w:r>
        <w:rPr>
          <w:rFonts w:hint="eastAsia" w:cs="仿宋"/>
          <w:highlight w:val="none"/>
        </w:rPr>
        <w:t>7.2评标结果异议</w:t>
      </w:r>
    </w:p>
    <w:p w14:paraId="0B80D521">
      <w:pPr>
        <w:shd w:val="clear"/>
        <w:spacing w:line="360" w:lineRule="auto"/>
        <w:ind w:firstLine="480" w:firstLineChars="200"/>
        <w:rPr>
          <w:rFonts w:hint="eastAsia" w:cs="仿宋"/>
          <w:highlight w:val="none"/>
        </w:rPr>
      </w:pPr>
      <w:r>
        <w:rPr>
          <w:rFonts w:hint="eastAsia" w:cs="仿宋"/>
          <w:highlight w:val="none"/>
        </w:rPr>
        <w:t>投标人或者其他利害关系人对评标结果有异议的，应当在中标候选人公示期间提出。招标人将在收到异议之日起3日内作出答复。</w:t>
      </w:r>
    </w:p>
    <w:p w14:paraId="33C9339E">
      <w:pPr>
        <w:shd w:val="clear"/>
        <w:spacing w:line="360" w:lineRule="auto"/>
        <w:ind w:firstLine="480" w:firstLineChars="200"/>
        <w:rPr>
          <w:rFonts w:hint="eastAsia" w:cs="仿宋"/>
          <w:highlight w:val="none"/>
        </w:rPr>
      </w:pPr>
      <w:r>
        <w:rPr>
          <w:rFonts w:hint="eastAsia" w:cs="仿宋"/>
          <w:highlight w:val="none"/>
        </w:rPr>
        <w:t>7.3定标</w:t>
      </w:r>
    </w:p>
    <w:p w14:paraId="327FBBBB">
      <w:pPr>
        <w:shd w:val="clear"/>
        <w:spacing w:line="360" w:lineRule="auto"/>
        <w:ind w:firstLine="480" w:firstLineChars="200"/>
        <w:rPr>
          <w:rFonts w:hint="eastAsia" w:cs="仿宋"/>
          <w:highlight w:val="none"/>
        </w:rPr>
      </w:pPr>
      <w:r>
        <w:rPr>
          <w:rFonts w:hint="eastAsia" w:cs="仿宋"/>
          <w:highlight w:val="none"/>
        </w:rPr>
        <w:t>按照投标人须知前附表的规定，招标人或招标人授权的评标委员会依法确定中标人。</w:t>
      </w:r>
    </w:p>
    <w:p w14:paraId="4B0B071A">
      <w:pPr>
        <w:shd w:val="clear"/>
        <w:spacing w:line="360" w:lineRule="auto"/>
        <w:ind w:firstLine="480" w:firstLineChars="200"/>
        <w:rPr>
          <w:rFonts w:hint="eastAsia" w:cs="仿宋"/>
          <w:highlight w:val="none"/>
        </w:rPr>
      </w:pPr>
      <w:r>
        <w:rPr>
          <w:rFonts w:hint="eastAsia" w:cs="仿宋"/>
          <w:highlight w:val="none"/>
        </w:rPr>
        <w:t>7.4中标通知</w:t>
      </w:r>
    </w:p>
    <w:p w14:paraId="3DF24E42">
      <w:pPr>
        <w:shd w:val="clear"/>
        <w:spacing w:line="360" w:lineRule="auto"/>
        <w:ind w:firstLine="480" w:firstLineChars="200"/>
        <w:rPr>
          <w:rFonts w:hint="eastAsia" w:cs="仿宋"/>
          <w:highlight w:val="none"/>
        </w:rPr>
      </w:pPr>
      <w:r>
        <w:rPr>
          <w:rFonts w:hint="eastAsia" w:cs="仿宋"/>
          <w:highlight w:val="none"/>
        </w:rPr>
        <w:t>在本章第3.3款规定的投标有效期内，中标结果通过</w:t>
      </w:r>
      <w:r>
        <w:rPr>
          <w:rFonts w:hint="eastAsia"/>
          <w:highlight w:val="none"/>
        </w:rPr>
        <w:t>济钢集团有限公司阳光购销平台（网址：</w:t>
      </w:r>
      <w:r>
        <w:rPr>
          <w:rFonts w:hint="eastAsia"/>
          <w:highlight w:val="none"/>
        </w:rPr>
        <w:fldChar w:fldCharType="begin"/>
      </w:r>
      <w:r>
        <w:rPr>
          <w:rFonts w:hint="eastAsia"/>
          <w:highlight w:val="none"/>
        </w:rPr>
        <w:instrText xml:space="preserve"> HYPERLINK "http://bidding.jigang.com.cn" </w:instrText>
      </w:r>
      <w:r>
        <w:rPr>
          <w:rFonts w:hint="eastAsia"/>
          <w:highlight w:val="none"/>
        </w:rPr>
        <w:fldChar w:fldCharType="separate"/>
      </w:r>
      <w:r>
        <w:rPr>
          <w:rFonts w:hint="eastAsia"/>
          <w:highlight w:val="none"/>
        </w:rPr>
        <w:t>http://bidding.jigang.com.cn</w:t>
      </w:r>
      <w:r>
        <w:rPr>
          <w:rFonts w:hint="eastAsia"/>
          <w:highlight w:val="none"/>
        </w:rPr>
        <w:fldChar w:fldCharType="end"/>
      </w:r>
      <w:r>
        <w:rPr>
          <w:rFonts w:hint="eastAsia"/>
          <w:highlight w:val="none"/>
        </w:rPr>
        <w:t xml:space="preserve">/） </w:t>
      </w:r>
      <w:r>
        <w:rPr>
          <w:rFonts w:hint="eastAsia" w:cs="仿宋"/>
          <w:highlight w:val="none"/>
        </w:rPr>
        <w:t>公示三天。公示期结束后，招标人以书面形式向中标人发出中标通知书。</w:t>
      </w:r>
    </w:p>
    <w:p w14:paraId="6872E1B3">
      <w:pPr>
        <w:shd w:val="clear"/>
        <w:spacing w:line="360" w:lineRule="auto"/>
        <w:ind w:firstLine="480" w:firstLineChars="200"/>
        <w:rPr>
          <w:rFonts w:hint="eastAsia" w:cs="仿宋"/>
          <w:highlight w:val="none"/>
        </w:rPr>
      </w:pPr>
      <w:r>
        <w:rPr>
          <w:rFonts w:hint="eastAsia" w:cs="仿宋"/>
          <w:highlight w:val="none"/>
        </w:rPr>
        <w:t>7.5履约保证金</w:t>
      </w:r>
    </w:p>
    <w:p w14:paraId="0C2E058D">
      <w:pPr>
        <w:shd w:val="clear"/>
        <w:spacing w:line="360" w:lineRule="auto"/>
        <w:ind w:firstLine="480" w:firstLineChars="200"/>
        <w:rPr>
          <w:rFonts w:hint="eastAsia" w:cs="仿宋"/>
          <w:highlight w:val="none"/>
        </w:rPr>
      </w:pPr>
      <w:r>
        <w:rPr>
          <w:rFonts w:hint="eastAsia" w:cs="仿宋"/>
          <w:highlight w:val="none"/>
        </w:rPr>
        <w:t>7.5.1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6410D8E7">
      <w:pPr>
        <w:shd w:val="clear"/>
        <w:spacing w:line="360" w:lineRule="auto"/>
        <w:ind w:firstLine="480" w:firstLineChars="200"/>
        <w:rPr>
          <w:rFonts w:hint="eastAsia" w:cs="仿宋"/>
          <w:highlight w:val="none"/>
        </w:rPr>
      </w:pPr>
      <w:r>
        <w:rPr>
          <w:rFonts w:hint="eastAsia" w:cs="仿宋"/>
          <w:highlight w:val="none"/>
        </w:rPr>
        <w:t>7.5.2中标人不能按本章第7.5.1项要求提交履约保证金的，视为放弃中标，其投标保证金不予退还，给招标人造成的损失超过投标保证金数额的，中标人还应当对超过部分予以赔偿。</w:t>
      </w:r>
    </w:p>
    <w:p w14:paraId="0BE31C25">
      <w:pPr>
        <w:shd w:val="clear"/>
        <w:spacing w:line="360" w:lineRule="auto"/>
        <w:ind w:firstLine="480" w:firstLineChars="200"/>
        <w:rPr>
          <w:rFonts w:hint="eastAsia" w:cs="仿宋"/>
          <w:highlight w:val="none"/>
        </w:rPr>
      </w:pPr>
      <w:r>
        <w:rPr>
          <w:rFonts w:hint="eastAsia" w:cs="仿宋"/>
          <w:highlight w:val="none"/>
        </w:rPr>
        <w:t>7.6 中标服务费：见投标人须知前附表。</w:t>
      </w:r>
    </w:p>
    <w:p w14:paraId="20C8FD40">
      <w:pPr>
        <w:shd w:val="clear"/>
        <w:spacing w:line="360" w:lineRule="auto"/>
        <w:ind w:firstLine="480" w:firstLineChars="200"/>
        <w:rPr>
          <w:rFonts w:hint="eastAsia" w:cs="仿宋"/>
          <w:highlight w:val="none"/>
        </w:rPr>
      </w:pPr>
      <w:r>
        <w:rPr>
          <w:rFonts w:hint="eastAsia" w:cs="仿宋"/>
          <w:highlight w:val="none"/>
        </w:rPr>
        <w:t>7.7签订合同</w:t>
      </w:r>
    </w:p>
    <w:p w14:paraId="72F00C0F">
      <w:pPr>
        <w:shd w:val="clear"/>
        <w:spacing w:line="360" w:lineRule="auto"/>
        <w:ind w:firstLine="480" w:firstLineChars="200"/>
        <w:rPr>
          <w:rFonts w:hint="eastAsia" w:cs="仿宋"/>
          <w:highlight w:val="none"/>
        </w:rPr>
      </w:pPr>
      <w:r>
        <w:rPr>
          <w:rFonts w:hint="eastAsia" w:cs="仿宋"/>
          <w:highlight w:val="none"/>
        </w:rPr>
        <w:t>7.7.1招标人和中标人应当在中标通知书发出之日起</w:t>
      </w:r>
      <w:r>
        <w:rPr>
          <w:rFonts w:hint="eastAsia" w:cs="仿宋"/>
          <w:highlight w:val="none"/>
          <w:lang w:val="en-US" w:eastAsia="zh-CN"/>
        </w:rPr>
        <w:t>7</w:t>
      </w:r>
      <w:r>
        <w:rPr>
          <w:rFonts w:hint="eastAsia" w:cs="仿宋"/>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73C42F">
      <w:pPr>
        <w:shd w:val="clear"/>
        <w:spacing w:line="360" w:lineRule="auto"/>
        <w:ind w:firstLine="480" w:firstLineChars="200"/>
        <w:rPr>
          <w:rFonts w:hint="eastAsia" w:cs="仿宋"/>
          <w:highlight w:val="none"/>
        </w:rPr>
      </w:pPr>
      <w:r>
        <w:rPr>
          <w:rFonts w:hint="eastAsia" w:cs="仿宋"/>
          <w:highlight w:val="none"/>
        </w:rPr>
        <w:t>7.7.2发出中标通知书后，招标人无正当理由拒签合同，或者在签订合同时向中标人提出附加条件的，招标人向中标人退还投标保证金；给中标人造成损失的，还应当赔偿损失。</w:t>
      </w:r>
    </w:p>
    <w:p w14:paraId="711CB6E6">
      <w:pPr>
        <w:pStyle w:val="64"/>
        <w:shd w:val="clear"/>
        <w:rPr>
          <w:rStyle w:val="96"/>
          <w:rFonts w:hint="eastAsia"/>
          <w:b/>
          <w:bCs/>
          <w:highlight w:val="none"/>
        </w:rPr>
      </w:pPr>
      <w:bookmarkStart w:id="107" w:name="_Toc506105859"/>
      <w:bookmarkStart w:id="108" w:name="_Toc507936051"/>
      <w:r>
        <w:rPr>
          <w:rStyle w:val="96"/>
          <w:rFonts w:hint="eastAsia"/>
          <w:b/>
          <w:bCs/>
          <w:highlight w:val="none"/>
        </w:rPr>
        <w:t>8.重新</w:t>
      </w:r>
      <w:bookmarkEnd w:id="107"/>
      <w:bookmarkEnd w:id="108"/>
      <w:bookmarkStart w:id="109" w:name="_Toc506105860"/>
      <w:r>
        <w:rPr>
          <w:rStyle w:val="96"/>
          <w:rFonts w:hint="eastAsia"/>
          <w:b/>
          <w:bCs/>
          <w:highlight w:val="none"/>
        </w:rPr>
        <w:t>招标</w:t>
      </w:r>
    </w:p>
    <w:bookmarkEnd w:id="109"/>
    <w:p w14:paraId="456E0DA6">
      <w:pPr>
        <w:pStyle w:val="59"/>
        <w:shd w:val="clear"/>
        <w:rPr>
          <w:rFonts w:hint="eastAsia"/>
          <w:highlight w:val="none"/>
        </w:rPr>
      </w:pPr>
      <w:bookmarkStart w:id="110" w:name="_Toc507936052"/>
      <w:r>
        <w:rPr>
          <w:rFonts w:hint="eastAsia"/>
          <w:highlight w:val="none"/>
        </w:rPr>
        <w:t>8.1重新</w:t>
      </w:r>
      <w:bookmarkEnd w:id="110"/>
      <w:r>
        <w:rPr>
          <w:rFonts w:hint="eastAsia"/>
          <w:highlight w:val="none"/>
        </w:rPr>
        <w:t>招标</w:t>
      </w:r>
    </w:p>
    <w:p w14:paraId="7AAD32E6">
      <w:pPr>
        <w:shd w:val="clear"/>
        <w:spacing w:line="360" w:lineRule="auto"/>
        <w:rPr>
          <w:rFonts w:cs="仿宋"/>
          <w:sz w:val="28"/>
          <w:szCs w:val="28"/>
          <w:highlight w:val="none"/>
        </w:rPr>
      </w:pPr>
      <w:r>
        <w:rPr>
          <w:rFonts w:hint="eastAsia" w:cs="仿宋"/>
          <w:highlight w:val="none"/>
        </w:rPr>
        <w:t>详见投标人须知前附表</w:t>
      </w:r>
    </w:p>
    <w:p w14:paraId="30510A57">
      <w:pPr>
        <w:pStyle w:val="64"/>
        <w:shd w:val="clear"/>
        <w:rPr>
          <w:rStyle w:val="96"/>
          <w:b/>
          <w:bCs/>
          <w:highlight w:val="none"/>
        </w:rPr>
      </w:pPr>
      <w:bookmarkStart w:id="111" w:name="_Toc152042350"/>
      <w:bookmarkStart w:id="112" w:name="_Toc144974542"/>
      <w:bookmarkStart w:id="113" w:name="_Toc312072272"/>
      <w:bookmarkStart w:id="114" w:name="_Toc152045574"/>
      <w:bookmarkStart w:id="115" w:name="_Toc269310962"/>
      <w:bookmarkStart w:id="116" w:name="_Toc507936053"/>
      <w:bookmarkStart w:id="117" w:name="_Toc446434333"/>
      <w:r>
        <w:rPr>
          <w:rStyle w:val="96"/>
          <w:b/>
          <w:bCs/>
          <w:highlight w:val="none"/>
        </w:rPr>
        <w:t xml:space="preserve">9. </w:t>
      </w:r>
      <w:r>
        <w:rPr>
          <w:rStyle w:val="96"/>
          <w:rFonts w:hint="eastAsia"/>
          <w:b/>
          <w:bCs/>
          <w:highlight w:val="none"/>
        </w:rPr>
        <w:t>纪律和监督</w:t>
      </w:r>
      <w:bookmarkEnd w:id="111"/>
      <w:bookmarkEnd w:id="112"/>
      <w:bookmarkEnd w:id="113"/>
      <w:bookmarkEnd w:id="114"/>
      <w:bookmarkEnd w:id="115"/>
      <w:bookmarkEnd w:id="116"/>
      <w:bookmarkEnd w:id="117"/>
    </w:p>
    <w:p w14:paraId="79E6B2CB">
      <w:pPr>
        <w:pStyle w:val="59"/>
        <w:shd w:val="clear"/>
        <w:rPr>
          <w:rFonts w:hint="eastAsia"/>
          <w:highlight w:val="none"/>
        </w:rPr>
      </w:pPr>
      <w:bookmarkStart w:id="118" w:name="_Toc507936054"/>
      <w:bookmarkStart w:id="119" w:name="_Toc152045580"/>
      <w:bookmarkStart w:id="120" w:name="_Toc269310968"/>
      <w:bookmarkStart w:id="121" w:name="_Toc152042357"/>
      <w:bookmarkStart w:id="122" w:name="_Toc144974547"/>
      <w:r>
        <w:rPr>
          <w:rFonts w:hint="eastAsia"/>
          <w:highlight w:val="none"/>
        </w:rPr>
        <w:t>9.1对招标人的纪律要求</w:t>
      </w:r>
      <w:bookmarkEnd w:id="118"/>
    </w:p>
    <w:p w14:paraId="409E339C">
      <w:pPr>
        <w:shd w:val="clear"/>
        <w:spacing w:line="400" w:lineRule="exact"/>
        <w:ind w:firstLine="480" w:firstLineChars="200"/>
        <w:rPr>
          <w:highlight w:val="none"/>
        </w:rPr>
      </w:pPr>
      <w:r>
        <w:rPr>
          <w:rFonts w:hint="eastAsia"/>
          <w:highlight w:val="none"/>
        </w:rPr>
        <w:t>招标人不得泄漏招标活动中应当保密的情况和资料，不得与投标人串通损害国家利益、社会公共利益和他人合法权益。</w:t>
      </w:r>
    </w:p>
    <w:p w14:paraId="5F7E9547">
      <w:pPr>
        <w:pStyle w:val="59"/>
        <w:shd w:val="clear"/>
        <w:rPr>
          <w:rFonts w:hint="eastAsia"/>
          <w:highlight w:val="none"/>
        </w:rPr>
      </w:pPr>
      <w:bookmarkStart w:id="123" w:name="_Toc507936055"/>
      <w:r>
        <w:rPr>
          <w:rFonts w:hint="eastAsia"/>
          <w:highlight w:val="none"/>
        </w:rPr>
        <w:t>9.2对投标人的纪律要求</w:t>
      </w:r>
      <w:bookmarkEnd w:id="123"/>
    </w:p>
    <w:p w14:paraId="3005C101">
      <w:pPr>
        <w:shd w:val="clear"/>
        <w:spacing w:line="400" w:lineRule="exact"/>
        <w:ind w:firstLine="480" w:firstLineChars="200"/>
        <w:rPr>
          <w:highlight w:val="none"/>
        </w:rPr>
      </w:pPr>
      <w:r>
        <w:rPr>
          <w:rFonts w:hint="eastAsia"/>
          <w:highlight w:val="none"/>
        </w:rPr>
        <w:t>投标人不得相互串通或者与招标人串通，不得向招标人或者评标委员会成员行贿谋取</w:t>
      </w:r>
      <w:r>
        <w:rPr>
          <w:rFonts w:hint="eastAsia" w:cs="仿宋"/>
          <w:highlight w:val="none"/>
        </w:rPr>
        <w:t>中标</w:t>
      </w:r>
      <w:r>
        <w:rPr>
          <w:rFonts w:hint="eastAsia"/>
          <w:highlight w:val="none"/>
        </w:rPr>
        <w:t>，不得以他人名义参加招标或者以其他方式弄虚作假骗取</w:t>
      </w:r>
      <w:r>
        <w:rPr>
          <w:rFonts w:hint="eastAsia" w:cs="仿宋"/>
          <w:highlight w:val="none"/>
        </w:rPr>
        <w:t>中标</w:t>
      </w:r>
      <w:r>
        <w:rPr>
          <w:rFonts w:hint="eastAsia"/>
          <w:highlight w:val="none"/>
        </w:rPr>
        <w:t>；投标人不得以任何方式干扰、影响评标工作。</w:t>
      </w:r>
    </w:p>
    <w:p w14:paraId="0FB17CE7">
      <w:pPr>
        <w:pStyle w:val="59"/>
        <w:shd w:val="clear"/>
        <w:rPr>
          <w:highlight w:val="none"/>
        </w:rPr>
      </w:pPr>
      <w:bookmarkStart w:id="124" w:name="_Toc507936056"/>
      <w:bookmarkStart w:id="125" w:name="_Toc312072275"/>
      <w:bookmarkStart w:id="126" w:name="_Toc446434336"/>
      <w:r>
        <w:rPr>
          <w:highlight w:val="none"/>
        </w:rPr>
        <w:t xml:space="preserve">9.3 </w:t>
      </w:r>
      <w:r>
        <w:rPr>
          <w:rFonts w:hint="eastAsia"/>
          <w:highlight w:val="none"/>
        </w:rPr>
        <w:t>对评标委员会成员的纪律要求</w:t>
      </w:r>
      <w:bookmarkEnd w:id="124"/>
      <w:bookmarkEnd w:id="125"/>
      <w:bookmarkEnd w:id="126"/>
    </w:p>
    <w:p w14:paraId="463CA9FC">
      <w:pPr>
        <w:shd w:val="clear"/>
        <w:spacing w:line="400" w:lineRule="exact"/>
        <w:ind w:firstLine="480" w:firstLineChars="200"/>
        <w:rPr>
          <w:highlight w:val="none"/>
        </w:rPr>
      </w:pPr>
      <w:r>
        <w:rPr>
          <w:rFonts w:hint="eastAsia"/>
          <w:highlight w:val="none"/>
        </w:rPr>
        <w:t>评标委员会成员不得收受他人的财物或者其他好处，不得向他人透漏对投标文件的评标和比较、中标候选人的推荐情况以及与评标有关的其他情况。在评标活动中，评标委员会成员不得擅离职守，影响评标程序正常进行，不得使用第三章“评标办法”没有规定的评标因素和标准进行评标。</w:t>
      </w:r>
    </w:p>
    <w:p w14:paraId="3CACB69C">
      <w:pPr>
        <w:pStyle w:val="59"/>
        <w:shd w:val="clear"/>
        <w:rPr>
          <w:highlight w:val="none"/>
        </w:rPr>
      </w:pPr>
      <w:bookmarkStart w:id="127" w:name="_Toc446434337"/>
      <w:bookmarkStart w:id="128" w:name="_Toc507936057"/>
      <w:bookmarkStart w:id="129" w:name="_Toc312072276"/>
      <w:r>
        <w:rPr>
          <w:highlight w:val="none"/>
        </w:rPr>
        <w:t xml:space="preserve">9.4 </w:t>
      </w:r>
      <w:r>
        <w:rPr>
          <w:rFonts w:hint="eastAsia"/>
          <w:highlight w:val="none"/>
        </w:rPr>
        <w:t>对与评标活动有关的工作人员的纪律要求</w:t>
      </w:r>
      <w:bookmarkEnd w:id="127"/>
      <w:bookmarkEnd w:id="128"/>
      <w:bookmarkEnd w:id="129"/>
    </w:p>
    <w:p w14:paraId="533F5DD6">
      <w:pPr>
        <w:shd w:val="clear"/>
        <w:spacing w:line="400" w:lineRule="exact"/>
        <w:ind w:firstLine="480" w:firstLineChars="200"/>
        <w:rPr>
          <w:highlight w:val="none"/>
        </w:rPr>
      </w:pPr>
      <w:r>
        <w:rPr>
          <w:rFonts w:hint="eastAsia"/>
          <w:highlight w:val="none"/>
        </w:rPr>
        <w:t>与评标活动有关的工作人员不得收受他人的财物或者其他好处，不得向他人透漏对投标文件的评标和比较、</w:t>
      </w:r>
      <w:r>
        <w:rPr>
          <w:rFonts w:hint="eastAsia" w:cs="仿宋"/>
          <w:highlight w:val="none"/>
        </w:rPr>
        <w:t>中标</w:t>
      </w:r>
      <w:r>
        <w:rPr>
          <w:rFonts w:hint="eastAsia"/>
          <w:highlight w:val="none"/>
        </w:rPr>
        <w:t>候选人的推荐情况以及与评标有关的其他情况。在评标活动中，与评标活动有关的工作人员不得擅离职守，影响评标程序正常进行。</w:t>
      </w:r>
    </w:p>
    <w:p w14:paraId="102D7128">
      <w:pPr>
        <w:pStyle w:val="59"/>
        <w:shd w:val="clear"/>
        <w:rPr>
          <w:highlight w:val="none"/>
        </w:rPr>
      </w:pPr>
      <w:bookmarkStart w:id="130" w:name="_Toc312072277"/>
      <w:bookmarkStart w:id="131" w:name="_Toc507936058"/>
      <w:bookmarkStart w:id="132" w:name="_Toc446434338"/>
      <w:r>
        <w:rPr>
          <w:highlight w:val="none"/>
        </w:rPr>
        <w:t xml:space="preserve">9.5 </w:t>
      </w:r>
      <w:r>
        <w:rPr>
          <w:rFonts w:hint="eastAsia"/>
          <w:highlight w:val="none"/>
        </w:rPr>
        <w:t>投诉</w:t>
      </w:r>
      <w:bookmarkEnd w:id="130"/>
      <w:bookmarkEnd w:id="131"/>
      <w:bookmarkEnd w:id="132"/>
    </w:p>
    <w:p w14:paraId="77AC0EB2">
      <w:pPr>
        <w:shd w:val="clear"/>
        <w:spacing w:line="400" w:lineRule="exact"/>
        <w:ind w:firstLine="480" w:firstLineChars="200"/>
        <w:rPr>
          <w:highlight w:val="none"/>
        </w:rPr>
      </w:pPr>
      <w:bookmarkStart w:id="133" w:name="_Toc312072278"/>
      <w:r>
        <w:rPr>
          <w:rFonts w:hint="eastAsia"/>
          <w:highlight w:val="none"/>
        </w:rPr>
        <w:t>投标人和其他利害关系人认为本次招标活动违反法律、法规和规章规定的，有权向市建设行政主管部门和相关监督部门投诉。</w:t>
      </w:r>
    </w:p>
    <w:p w14:paraId="1730AC46">
      <w:pPr>
        <w:pStyle w:val="59"/>
        <w:shd w:val="clear"/>
        <w:jc w:val="center"/>
        <w:rPr>
          <w:rStyle w:val="96"/>
          <w:b/>
          <w:bCs/>
          <w:highlight w:val="none"/>
        </w:rPr>
      </w:pPr>
      <w:bookmarkStart w:id="134" w:name="_Toc507936059"/>
      <w:bookmarkStart w:id="135" w:name="_Toc446434339"/>
      <w:r>
        <w:rPr>
          <w:rStyle w:val="96"/>
          <w:b/>
          <w:bCs/>
          <w:highlight w:val="none"/>
        </w:rPr>
        <w:t xml:space="preserve">10. </w:t>
      </w:r>
      <w:r>
        <w:rPr>
          <w:rStyle w:val="96"/>
          <w:rFonts w:hint="eastAsia"/>
          <w:b/>
          <w:bCs/>
          <w:highlight w:val="none"/>
        </w:rPr>
        <w:t>需要补充的其他内容</w:t>
      </w:r>
      <w:bookmarkEnd w:id="119"/>
      <w:bookmarkEnd w:id="120"/>
      <w:bookmarkEnd w:id="121"/>
      <w:bookmarkEnd w:id="122"/>
      <w:bookmarkEnd w:id="133"/>
      <w:bookmarkEnd w:id="134"/>
      <w:bookmarkEnd w:id="135"/>
    </w:p>
    <w:p w14:paraId="395873DD">
      <w:pPr>
        <w:shd w:val="clear"/>
        <w:spacing w:line="360" w:lineRule="auto"/>
        <w:rPr>
          <w:rFonts w:hint="eastAsia"/>
          <w:highlight w:val="none"/>
        </w:rPr>
      </w:pPr>
      <w:r>
        <w:rPr>
          <w:rFonts w:hint="eastAsia"/>
          <w:highlight w:val="none"/>
        </w:rPr>
        <w:t>10.1评委投票方式：见投标人须知前附表。</w:t>
      </w:r>
    </w:p>
    <w:p w14:paraId="3BD03939">
      <w:pPr>
        <w:shd w:val="clear"/>
        <w:spacing w:line="360" w:lineRule="auto"/>
        <w:rPr>
          <w:rFonts w:hint="eastAsia"/>
          <w:highlight w:val="none"/>
        </w:rPr>
      </w:pPr>
      <w:r>
        <w:rPr>
          <w:rFonts w:hint="eastAsia"/>
          <w:highlight w:val="none"/>
        </w:rPr>
        <w:t>10.2投标人对招标文件认可的界定：见投标人须知前附表。</w:t>
      </w:r>
    </w:p>
    <w:p w14:paraId="6AF518E0">
      <w:pPr>
        <w:pStyle w:val="56"/>
        <w:shd w:val="clear"/>
        <w:spacing w:before="156"/>
        <w:rPr>
          <w:highlight w:val="none"/>
        </w:rPr>
      </w:pPr>
      <w:bookmarkStart w:id="136" w:name="_Toc507936060"/>
      <w:bookmarkStart w:id="137" w:name="_Toc506105866"/>
      <w:r>
        <w:rPr>
          <w:highlight w:val="none"/>
        </w:rPr>
        <w:br w:type="page"/>
      </w:r>
      <w:bookmarkStart w:id="138" w:name="_Toc17549_WPSOffice_Level1"/>
      <w:bookmarkStart w:id="139" w:name="_Toc24184_WPSOffice_Level1"/>
      <w:r>
        <w:rPr>
          <w:rFonts w:hint="eastAsia"/>
          <w:highlight w:val="none"/>
        </w:rPr>
        <w:t>第三章  评标办法</w:t>
      </w:r>
      <w:bookmarkEnd w:id="136"/>
      <w:bookmarkEnd w:id="137"/>
      <w:bookmarkEnd w:id="138"/>
      <w:bookmarkEnd w:id="139"/>
    </w:p>
    <w:p w14:paraId="397491AB">
      <w:pPr>
        <w:shd w:val="clear"/>
        <w:tabs>
          <w:tab w:val="left" w:pos="6237"/>
        </w:tabs>
        <w:spacing w:line="360" w:lineRule="auto"/>
        <w:ind w:firstLine="480" w:firstLineChars="200"/>
        <w:rPr>
          <w:rFonts w:cs="仿宋"/>
          <w:bCs/>
          <w:color w:val="000000"/>
          <w:highlight w:val="none"/>
        </w:rPr>
      </w:pPr>
      <w:r>
        <w:rPr>
          <w:rFonts w:hint="eastAsia" w:cs="仿宋"/>
          <w:bCs/>
          <w:color w:val="000000"/>
          <w:highlight w:val="none"/>
        </w:rPr>
        <w:t>为规范招标工作，制定本办法。</w:t>
      </w:r>
    </w:p>
    <w:p w14:paraId="4C7C3D76">
      <w:pPr>
        <w:shd w:val="clear"/>
        <w:spacing w:line="360" w:lineRule="auto"/>
        <w:rPr>
          <w:rFonts w:cs="仿宋"/>
          <w:color w:val="000000"/>
          <w:highlight w:val="none"/>
        </w:rPr>
      </w:pPr>
      <w:r>
        <w:rPr>
          <w:rFonts w:hint="eastAsia" w:cs="仿宋"/>
          <w:color w:val="000000"/>
          <w:highlight w:val="none"/>
        </w:rPr>
        <w:t>一、评标方法</w:t>
      </w:r>
    </w:p>
    <w:p w14:paraId="3DDE1F65">
      <w:pPr>
        <w:shd w:val="clear"/>
        <w:spacing w:line="360" w:lineRule="auto"/>
        <w:ind w:firstLine="480" w:firstLineChars="200"/>
        <w:rPr>
          <w:rFonts w:cs="仿宋"/>
          <w:bCs/>
          <w:color w:val="000000"/>
          <w:highlight w:val="none"/>
        </w:rPr>
      </w:pPr>
      <w:r>
        <w:rPr>
          <w:rFonts w:hint="eastAsia" w:cs="仿宋"/>
          <w:bCs/>
          <w:color w:val="000000"/>
          <w:highlight w:val="none"/>
        </w:rPr>
        <w:t>按评分标准表进行评标。</w:t>
      </w:r>
    </w:p>
    <w:p w14:paraId="205C4EC3">
      <w:pPr>
        <w:shd w:val="clear"/>
        <w:spacing w:line="360" w:lineRule="auto"/>
        <w:rPr>
          <w:rFonts w:cs="仿宋"/>
          <w:color w:val="000000"/>
          <w:highlight w:val="none"/>
        </w:rPr>
      </w:pPr>
      <w:r>
        <w:rPr>
          <w:rFonts w:hint="eastAsia" w:cs="仿宋"/>
          <w:bCs/>
          <w:color w:val="000000"/>
          <w:highlight w:val="none"/>
        </w:rPr>
        <w:t>二、评标原则</w:t>
      </w:r>
    </w:p>
    <w:p w14:paraId="2A383A76">
      <w:pPr>
        <w:shd w:val="clear"/>
        <w:spacing w:line="360" w:lineRule="auto"/>
        <w:ind w:firstLine="480" w:firstLineChars="200"/>
        <w:rPr>
          <w:rFonts w:cs="仿宋"/>
          <w:color w:val="000000"/>
          <w:highlight w:val="none"/>
        </w:rPr>
      </w:pPr>
      <w:r>
        <w:rPr>
          <w:rFonts w:hint="eastAsia" w:cs="仿宋"/>
          <w:bCs/>
          <w:color w:val="000000"/>
          <w:highlight w:val="none"/>
        </w:rPr>
        <w:t>评标遵循公平、公正、科学、择优的原则。</w:t>
      </w:r>
    </w:p>
    <w:p w14:paraId="16247F73">
      <w:pPr>
        <w:shd w:val="clear"/>
        <w:spacing w:line="360" w:lineRule="auto"/>
        <w:rPr>
          <w:rFonts w:cs="仿宋"/>
          <w:color w:val="000000"/>
          <w:highlight w:val="none"/>
        </w:rPr>
      </w:pPr>
      <w:r>
        <w:rPr>
          <w:rFonts w:hint="eastAsia" w:cs="仿宋"/>
          <w:bCs/>
          <w:color w:val="000000"/>
          <w:highlight w:val="none"/>
        </w:rPr>
        <w:t>三、评标组织及服务</w:t>
      </w:r>
    </w:p>
    <w:p w14:paraId="57E3A023">
      <w:pPr>
        <w:shd w:val="clear"/>
        <w:spacing w:line="360" w:lineRule="auto"/>
        <w:ind w:firstLine="480" w:firstLineChars="200"/>
        <w:rPr>
          <w:rFonts w:cs="仿宋"/>
          <w:bCs/>
          <w:color w:val="000000"/>
          <w:highlight w:val="none"/>
        </w:rPr>
      </w:pPr>
      <w:r>
        <w:rPr>
          <w:rFonts w:hint="eastAsia" w:cs="仿宋"/>
          <w:bCs/>
          <w:color w:val="000000"/>
          <w:highlight w:val="none"/>
        </w:rPr>
        <w:t>1、为做好评标工作，成立评标委员会和工作小组。</w:t>
      </w:r>
    </w:p>
    <w:p w14:paraId="16165A1F">
      <w:pPr>
        <w:shd w:val="clear"/>
        <w:spacing w:line="360" w:lineRule="auto"/>
        <w:ind w:firstLine="480" w:firstLineChars="200"/>
        <w:rPr>
          <w:rFonts w:cs="仿宋"/>
          <w:bCs/>
          <w:color w:val="000000"/>
          <w:highlight w:val="none"/>
        </w:rPr>
      </w:pPr>
      <w:r>
        <w:rPr>
          <w:rFonts w:hint="eastAsia" w:cs="仿宋"/>
          <w:bCs/>
          <w:color w:val="000000"/>
          <w:highlight w:val="none"/>
        </w:rPr>
        <w:t>2、评标委员会</w:t>
      </w:r>
    </w:p>
    <w:p w14:paraId="0BDD35A7">
      <w:pPr>
        <w:shd w:val="clear"/>
        <w:spacing w:line="360" w:lineRule="auto"/>
        <w:ind w:firstLine="480" w:firstLineChars="200"/>
        <w:rPr>
          <w:rFonts w:cs="仿宋"/>
          <w:bCs/>
          <w:color w:val="000000"/>
          <w:highlight w:val="none"/>
        </w:rPr>
      </w:pPr>
      <w:r>
        <w:rPr>
          <w:rFonts w:hint="eastAsia" w:cs="仿宋"/>
          <w:bCs/>
          <w:color w:val="000000"/>
          <w:highlight w:val="none"/>
        </w:rPr>
        <w:t>2.1评标委员会由招标人依法组建，评标委员会成员由招标人代表及熟悉相关业务的有关技术、经济等方面的专家组成。</w:t>
      </w:r>
    </w:p>
    <w:p w14:paraId="67240CCA">
      <w:pPr>
        <w:shd w:val="clear"/>
        <w:spacing w:line="360" w:lineRule="auto"/>
        <w:ind w:firstLine="480" w:firstLineChars="200"/>
        <w:rPr>
          <w:rFonts w:cs="仿宋"/>
          <w:bCs/>
          <w:color w:val="000000"/>
          <w:highlight w:val="none"/>
        </w:rPr>
      </w:pPr>
      <w:r>
        <w:rPr>
          <w:rFonts w:hint="eastAsia" w:cs="仿宋"/>
          <w:bCs/>
          <w:color w:val="000000"/>
          <w:highlight w:val="none"/>
        </w:rPr>
        <w:t>2.2评标委员会成员为5人及以上单数。</w:t>
      </w:r>
    </w:p>
    <w:p w14:paraId="627EE549">
      <w:pPr>
        <w:shd w:val="clear"/>
        <w:spacing w:line="360" w:lineRule="auto"/>
        <w:ind w:firstLine="480" w:firstLineChars="200"/>
        <w:rPr>
          <w:rFonts w:cs="仿宋"/>
          <w:bCs/>
          <w:color w:val="000000"/>
          <w:highlight w:val="none"/>
        </w:rPr>
      </w:pPr>
      <w:r>
        <w:rPr>
          <w:rFonts w:hint="eastAsia" w:cs="仿宋"/>
          <w:bCs/>
          <w:color w:val="000000"/>
          <w:highlight w:val="none"/>
        </w:rPr>
        <w:t>2.3评标工作由评标委员会负责。</w:t>
      </w:r>
    </w:p>
    <w:p w14:paraId="380D1775">
      <w:pPr>
        <w:shd w:val="clear"/>
        <w:spacing w:line="360" w:lineRule="auto"/>
        <w:ind w:firstLine="480" w:firstLineChars="200"/>
        <w:rPr>
          <w:rFonts w:cs="仿宋"/>
          <w:bCs/>
          <w:color w:val="000000"/>
          <w:highlight w:val="none"/>
        </w:rPr>
      </w:pPr>
      <w:r>
        <w:rPr>
          <w:rFonts w:hint="eastAsia" w:cs="仿宋"/>
          <w:bCs/>
          <w:color w:val="000000"/>
          <w:highlight w:val="none"/>
        </w:rPr>
        <w:t>3、工作小组</w:t>
      </w:r>
    </w:p>
    <w:p w14:paraId="7C1F7185">
      <w:pPr>
        <w:shd w:val="clear"/>
        <w:spacing w:line="360" w:lineRule="auto"/>
        <w:ind w:firstLine="480" w:firstLineChars="200"/>
        <w:rPr>
          <w:rFonts w:cs="仿宋"/>
          <w:bCs/>
          <w:color w:val="000000"/>
          <w:highlight w:val="none"/>
        </w:rPr>
      </w:pPr>
      <w:r>
        <w:rPr>
          <w:rFonts w:hint="eastAsia" w:cs="仿宋"/>
          <w:bCs/>
          <w:color w:val="000000"/>
          <w:highlight w:val="none"/>
        </w:rPr>
        <w:t>3.1由招标人组成工作小组，为评标委员会服务。</w:t>
      </w:r>
    </w:p>
    <w:p w14:paraId="5279B353">
      <w:pPr>
        <w:shd w:val="clear"/>
        <w:spacing w:line="360" w:lineRule="auto"/>
        <w:ind w:firstLine="480" w:firstLineChars="200"/>
        <w:rPr>
          <w:rFonts w:cs="仿宋"/>
          <w:bCs/>
          <w:color w:val="000000"/>
          <w:highlight w:val="none"/>
        </w:rPr>
      </w:pPr>
      <w:r>
        <w:rPr>
          <w:rFonts w:hint="eastAsia" w:cs="仿宋"/>
          <w:bCs/>
          <w:color w:val="000000"/>
          <w:highlight w:val="none"/>
        </w:rPr>
        <w:t>3.2工作小组承担保管招标文件、投标文件、发放评标资料、投标文件摘录汇总、基础数据对比及会议服务。</w:t>
      </w:r>
    </w:p>
    <w:p w14:paraId="05E28EF0">
      <w:pPr>
        <w:shd w:val="clear"/>
        <w:spacing w:line="360" w:lineRule="auto"/>
        <w:rPr>
          <w:rFonts w:cs="仿宋"/>
          <w:bCs/>
          <w:color w:val="000000"/>
          <w:highlight w:val="none"/>
        </w:rPr>
      </w:pPr>
      <w:r>
        <w:rPr>
          <w:rFonts w:hint="eastAsia" w:cs="仿宋"/>
          <w:bCs/>
          <w:color w:val="000000"/>
          <w:highlight w:val="none"/>
        </w:rPr>
        <w:t>四、评标程序及内容</w:t>
      </w:r>
    </w:p>
    <w:p w14:paraId="7B3D5F1E">
      <w:pPr>
        <w:shd w:val="clear"/>
        <w:spacing w:line="360" w:lineRule="auto"/>
        <w:ind w:firstLine="480" w:firstLineChars="200"/>
        <w:rPr>
          <w:rFonts w:hint="eastAsia" w:cs="仿宋"/>
          <w:bCs/>
          <w:color w:val="FF0000"/>
          <w:highlight w:val="none"/>
        </w:rPr>
      </w:pPr>
      <w:r>
        <w:rPr>
          <w:rFonts w:hint="eastAsia" w:cs="仿宋"/>
          <w:bCs/>
          <w:color w:val="000000"/>
          <w:highlight w:val="none"/>
        </w:rPr>
        <w:t>1、评标的方法：</w:t>
      </w:r>
      <w:r>
        <w:rPr>
          <w:rFonts w:hint="eastAsia" w:cs="仿宋"/>
          <w:bCs/>
          <w:highlight w:val="none"/>
        </w:rPr>
        <w:t>由资格审查、</w:t>
      </w:r>
      <w:r>
        <w:rPr>
          <w:rFonts w:hint="eastAsia" w:cs="仿宋"/>
          <w:bCs/>
          <w:color w:val="000000"/>
          <w:highlight w:val="none"/>
        </w:rPr>
        <w:t>综合</w:t>
      </w:r>
      <w:r>
        <w:rPr>
          <w:rFonts w:hint="eastAsia" w:cs="仿宋"/>
          <w:bCs/>
          <w:highlight w:val="none"/>
        </w:rPr>
        <w:t>评标两部分。</w:t>
      </w:r>
    </w:p>
    <w:p w14:paraId="0374B138">
      <w:pPr>
        <w:shd w:val="clear"/>
        <w:spacing w:line="360" w:lineRule="auto"/>
        <w:ind w:firstLine="480" w:firstLineChars="200"/>
        <w:rPr>
          <w:rFonts w:cs="仿宋"/>
          <w:bCs/>
          <w:color w:val="000000"/>
          <w:highlight w:val="none"/>
        </w:rPr>
      </w:pPr>
      <w:r>
        <w:rPr>
          <w:rFonts w:hint="eastAsia" w:cs="仿宋"/>
          <w:bCs/>
          <w:highlight w:val="none"/>
        </w:rPr>
        <w:t>2、资格审查</w:t>
      </w:r>
      <w:r>
        <w:rPr>
          <w:rFonts w:hint="eastAsia" w:cs="仿宋"/>
          <w:bCs/>
          <w:color w:val="000000"/>
          <w:highlight w:val="none"/>
        </w:rPr>
        <w:t>：按对投标人的资格要求、缴纳投标保证金等情况进行评标。详见《资格审查表》。</w:t>
      </w:r>
    </w:p>
    <w:p w14:paraId="3EF96D81">
      <w:pPr>
        <w:shd w:val="clear"/>
        <w:spacing w:line="360" w:lineRule="auto"/>
        <w:ind w:firstLine="480" w:firstLineChars="200"/>
        <w:rPr>
          <w:rFonts w:cs="仿宋"/>
          <w:bCs/>
          <w:color w:val="000000"/>
          <w:highlight w:val="none"/>
        </w:rPr>
      </w:pPr>
      <w:r>
        <w:rPr>
          <w:rFonts w:hint="eastAsia" w:cs="仿宋"/>
          <w:bCs/>
          <w:color w:val="000000"/>
          <w:highlight w:val="none"/>
        </w:rPr>
        <w:t>3、综合评标：通过资格审查后，根据投标人的商务、技术和价格等进行综合评标。</w:t>
      </w:r>
    </w:p>
    <w:p w14:paraId="2A614B8C">
      <w:pPr>
        <w:shd w:val="clear"/>
        <w:spacing w:line="360" w:lineRule="auto"/>
        <w:rPr>
          <w:rFonts w:cs="仿宋"/>
          <w:bCs/>
          <w:color w:val="000000"/>
          <w:highlight w:val="none"/>
        </w:rPr>
      </w:pPr>
      <w:r>
        <w:rPr>
          <w:rFonts w:hint="eastAsia" w:cs="仿宋"/>
          <w:bCs/>
          <w:color w:val="000000"/>
          <w:highlight w:val="none"/>
        </w:rPr>
        <w:t>五、评标报告</w:t>
      </w:r>
    </w:p>
    <w:p w14:paraId="6C2368F1">
      <w:pPr>
        <w:shd w:val="clear"/>
        <w:spacing w:line="360" w:lineRule="auto"/>
        <w:ind w:firstLine="480" w:firstLineChars="200"/>
        <w:rPr>
          <w:rFonts w:cs="仿宋"/>
          <w:bCs/>
          <w:color w:val="000000"/>
          <w:highlight w:val="none"/>
        </w:rPr>
      </w:pPr>
      <w:r>
        <w:rPr>
          <w:rFonts w:hint="eastAsia" w:cs="仿宋"/>
          <w:bCs/>
          <w:color w:val="000000"/>
          <w:highlight w:val="none"/>
        </w:rPr>
        <w:t>1、评标委员会根据评标情况和结果，向招标人提交评标报告。评标报告由评标委员会起草，评标委员会全体成员应在评标报告上签字确认，评标专家如有保留意见可以在评标报告中阐明。</w:t>
      </w:r>
    </w:p>
    <w:p w14:paraId="638D8036">
      <w:pPr>
        <w:shd w:val="clear"/>
        <w:spacing w:line="360" w:lineRule="auto"/>
        <w:ind w:firstLine="480" w:firstLineChars="200"/>
        <w:rPr>
          <w:rFonts w:cs="仿宋"/>
          <w:bCs/>
          <w:color w:val="000000"/>
          <w:highlight w:val="none"/>
        </w:rPr>
      </w:pPr>
      <w:r>
        <w:rPr>
          <w:rFonts w:hint="eastAsia" w:cs="仿宋"/>
          <w:bCs/>
          <w:color w:val="000000"/>
          <w:highlight w:val="none"/>
        </w:rPr>
        <w:t>2、评标委员会在评标报告中根据得分排序推荐前</w:t>
      </w:r>
      <w:r>
        <w:rPr>
          <w:rFonts w:hint="eastAsia" w:cs="仿宋"/>
          <w:bCs/>
          <w:highlight w:val="none"/>
        </w:rPr>
        <w:t>一至二名</w:t>
      </w:r>
      <w:r>
        <w:rPr>
          <w:rFonts w:hint="eastAsia" w:cs="仿宋"/>
          <w:bCs/>
          <w:color w:val="000000"/>
          <w:highlight w:val="none"/>
        </w:rPr>
        <w:t>为中标候选人。</w:t>
      </w:r>
    </w:p>
    <w:p w14:paraId="089EA091">
      <w:pPr>
        <w:shd w:val="clear"/>
        <w:jc w:val="center"/>
        <w:rPr>
          <w:rFonts w:hint="eastAsia"/>
          <w:b/>
          <w:sz w:val="30"/>
          <w:szCs w:val="30"/>
          <w:highlight w:val="none"/>
        </w:rPr>
      </w:pPr>
    </w:p>
    <w:p w14:paraId="00AB13A2">
      <w:pPr>
        <w:shd w:val="clear"/>
        <w:jc w:val="center"/>
        <w:rPr>
          <w:b/>
          <w:sz w:val="30"/>
          <w:szCs w:val="30"/>
          <w:highlight w:val="none"/>
        </w:rPr>
      </w:pPr>
      <w:r>
        <w:rPr>
          <w:rFonts w:hint="eastAsia"/>
          <w:b/>
          <w:sz w:val="30"/>
          <w:szCs w:val="30"/>
          <w:highlight w:val="none"/>
        </w:rPr>
        <w:t>1.资格审查表</w:t>
      </w:r>
    </w:p>
    <w:p w14:paraId="733F44BC">
      <w:pPr>
        <w:shd w:val="clear"/>
        <w:ind w:left="-808" w:leftChars="-337" w:firstLine="720" w:firstLineChars="300"/>
        <w:rPr>
          <w:szCs w:val="21"/>
          <w:highlight w:val="none"/>
        </w:rPr>
      </w:pPr>
      <w:r>
        <w:rPr>
          <w:rFonts w:hint="eastAsia"/>
          <w:szCs w:val="21"/>
          <w:highlight w:val="none"/>
        </w:rPr>
        <w:t>招标编号：                 审查日期： 年 月 日</w:t>
      </w:r>
    </w:p>
    <w:tbl>
      <w:tblPr>
        <w:tblStyle w:val="46"/>
        <w:tblW w:w="0" w:type="auto"/>
        <w:tblInd w:w="-601" w:type="dxa"/>
        <w:tblLayout w:type="autofit"/>
        <w:tblCellMar>
          <w:top w:w="0" w:type="dxa"/>
          <w:left w:w="108" w:type="dxa"/>
          <w:bottom w:w="0" w:type="dxa"/>
          <w:right w:w="108" w:type="dxa"/>
        </w:tblCellMar>
      </w:tblPr>
      <w:tblGrid>
        <w:gridCol w:w="567"/>
        <w:gridCol w:w="1276"/>
        <w:gridCol w:w="1701"/>
        <w:gridCol w:w="993"/>
        <w:gridCol w:w="456"/>
        <w:gridCol w:w="849"/>
        <w:gridCol w:w="1701"/>
        <w:gridCol w:w="2268"/>
      </w:tblGrid>
      <w:tr w14:paraId="47D29B9B">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55B503F7">
            <w:pPr>
              <w:shd w:val="clear"/>
              <w:jc w:val="center"/>
              <w:rPr>
                <w:szCs w:val="21"/>
                <w:highlight w:val="none"/>
              </w:rPr>
            </w:pPr>
            <w:r>
              <w:rPr>
                <w:rFonts w:hint="eastAsia"/>
                <w:szCs w:val="21"/>
                <w:highlight w:val="none"/>
              </w:rPr>
              <w:t>招标名称</w:t>
            </w:r>
          </w:p>
        </w:tc>
        <w:tc>
          <w:tcPr>
            <w:tcW w:w="7938" w:type="dxa"/>
            <w:gridSpan w:val="6"/>
            <w:tcBorders>
              <w:top w:val="single" w:color="auto" w:sz="8" w:space="0"/>
              <w:left w:val="nil"/>
              <w:bottom w:val="single" w:color="auto" w:sz="8" w:space="0"/>
              <w:right w:val="single" w:color="000000" w:sz="8" w:space="0"/>
            </w:tcBorders>
            <w:noWrap/>
            <w:vAlign w:val="center"/>
          </w:tcPr>
          <w:p w14:paraId="355BDDAD">
            <w:pPr>
              <w:shd w:val="clear"/>
              <w:jc w:val="center"/>
              <w:rPr>
                <w:szCs w:val="21"/>
                <w:highlight w:val="none"/>
              </w:rPr>
            </w:pPr>
          </w:p>
        </w:tc>
      </w:tr>
      <w:tr w14:paraId="7B4A0967">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1A561B81">
            <w:pPr>
              <w:shd w:val="clear"/>
              <w:jc w:val="center"/>
              <w:rPr>
                <w:szCs w:val="21"/>
                <w:highlight w:val="none"/>
              </w:rPr>
            </w:pPr>
            <w:r>
              <w:rPr>
                <w:rFonts w:hint="eastAsia"/>
                <w:szCs w:val="21"/>
                <w:highlight w:val="none"/>
              </w:rPr>
              <w:t>招标内容</w:t>
            </w:r>
          </w:p>
        </w:tc>
        <w:tc>
          <w:tcPr>
            <w:tcW w:w="7938" w:type="dxa"/>
            <w:gridSpan w:val="6"/>
            <w:tcBorders>
              <w:top w:val="single" w:color="auto" w:sz="8" w:space="0"/>
              <w:left w:val="nil"/>
              <w:bottom w:val="single" w:color="auto" w:sz="8" w:space="0"/>
              <w:right w:val="single" w:color="000000" w:sz="8" w:space="0"/>
            </w:tcBorders>
            <w:noWrap/>
            <w:vAlign w:val="center"/>
          </w:tcPr>
          <w:p w14:paraId="161665EB">
            <w:pPr>
              <w:shd w:val="clear"/>
              <w:jc w:val="center"/>
              <w:rPr>
                <w:szCs w:val="21"/>
                <w:highlight w:val="none"/>
              </w:rPr>
            </w:pPr>
          </w:p>
        </w:tc>
      </w:tr>
      <w:tr w14:paraId="3580603D">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7B060E60">
            <w:pPr>
              <w:shd w:val="clear"/>
              <w:jc w:val="center"/>
              <w:rPr>
                <w:szCs w:val="21"/>
                <w:highlight w:val="none"/>
              </w:rPr>
            </w:pPr>
            <w:r>
              <w:rPr>
                <w:rFonts w:hint="eastAsia"/>
                <w:szCs w:val="21"/>
                <w:highlight w:val="none"/>
              </w:rPr>
              <w:t>序号</w:t>
            </w:r>
          </w:p>
        </w:tc>
        <w:tc>
          <w:tcPr>
            <w:tcW w:w="2977" w:type="dxa"/>
            <w:gridSpan w:val="2"/>
            <w:tcBorders>
              <w:top w:val="single" w:color="auto" w:sz="8" w:space="0"/>
              <w:left w:val="nil"/>
              <w:bottom w:val="single" w:color="auto" w:sz="8" w:space="0"/>
              <w:right w:val="single" w:color="000000" w:sz="8" w:space="0"/>
            </w:tcBorders>
            <w:noWrap/>
            <w:vAlign w:val="center"/>
          </w:tcPr>
          <w:p w14:paraId="27BC6CE0">
            <w:pPr>
              <w:shd w:val="clear"/>
              <w:jc w:val="center"/>
              <w:rPr>
                <w:szCs w:val="21"/>
                <w:highlight w:val="none"/>
              </w:rPr>
            </w:pPr>
            <w:r>
              <w:rPr>
                <w:rFonts w:hint="eastAsia"/>
                <w:szCs w:val="21"/>
                <w:highlight w:val="none"/>
              </w:rPr>
              <w:t>报名单位</w:t>
            </w:r>
          </w:p>
        </w:tc>
        <w:tc>
          <w:tcPr>
            <w:tcW w:w="993" w:type="dxa"/>
            <w:tcBorders>
              <w:top w:val="nil"/>
              <w:left w:val="nil"/>
              <w:bottom w:val="single" w:color="auto" w:sz="8" w:space="0"/>
              <w:right w:val="single" w:color="auto" w:sz="8" w:space="0"/>
            </w:tcBorders>
            <w:noWrap/>
            <w:vAlign w:val="center"/>
          </w:tcPr>
          <w:p w14:paraId="5E399C61">
            <w:pPr>
              <w:shd w:val="clear"/>
              <w:jc w:val="center"/>
              <w:rPr>
                <w:szCs w:val="21"/>
                <w:highlight w:val="none"/>
              </w:rPr>
            </w:pPr>
            <w:r>
              <w:rPr>
                <w:rFonts w:hint="eastAsia"/>
                <w:szCs w:val="21"/>
                <w:highlight w:val="none"/>
              </w:rPr>
              <w:t>注册资金</w:t>
            </w:r>
          </w:p>
        </w:tc>
        <w:tc>
          <w:tcPr>
            <w:tcW w:w="426" w:type="dxa"/>
            <w:tcBorders>
              <w:top w:val="nil"/>
              <w:left w:val="nil"/>
              <w:bottom w:val="single" w:color="auto" w:sz="8" w:space="0"/>
              <w:right w:val="single" w:color="auto" w:sz="8" w:space="0"/>
            </w:tcBorders>
            <w:noWrap w:val="0"/>
            <w:vAlign w:val="center"/>
          </w:tcPr>
          <w:p w14:paraId="09CB611F">
            <w:pPr>
              <w:shd w:val="clear"/>
              <w:jc w:val="center"/>
              <w:rPr>
                <w:szCs w:val="21"/>
                <w:highlight w:val="none"/>
              </w:rPr>
            </w:pPr>
            <w:r>
              <w:rPr>
                <w:rFonts w:hint="eastAsia"/>
                <w:szCs w:val="21"/>
                <w:highlight w:val="none"/>
              </w:rPr>
              <w:t>业绩</w:t>
            </w:r>
          </w:p>
        </w:tc>
        <w:tc>
          <w:tcPr>
            <w:tcW w:w="849" w:type="dxa"/>
            <w:tcBorders>
              <w:top w:val="nil"/>
              <w:left w:val="nil"/>
              <w:bottom w:val="single" w:color="auto" w:sz="8" w:space="0"/>
              <w:right w:val="single" w:color="auto" w:sz="8" w:space="0"/>
            </w:tcBorders>
            <w:noWrap/>
            <w:vAlign w:val="center"/>
          </w:tcPr>
          <w:p w14:paraId="11DC8579">
            <w:pPr>
              <w:shd w:val="clear"/>
              <w:jc w:val="center"/>
              <w:rPr>
                <w:szCs w:val="21"/>
                <w:highlight w:val="none"/>
              </w:rPr>
            </w:pPr>
            <w:r>
              <w:rPr>
                <w:rFonts w:hint="eastAsia"/>
                <w:szCs w:val="21"/>
                <w:highlight w:val="none"/>
              </w:rPr>
              <w:t>联系人</w:t>
            </w:r>
          </w:p>
        </w:tc>
        <w:tc>
          <w:tcPr>
            <w:tcW w:w="1701" w:type="dxa"/>
            <w:tcBorders>
              <w:top w:val="nil"/>
              <w:left w:val="nil"/>
              <w:bottom w:val="single" w:color="auto" w:sz="8" w:space="0"/>
              <w:right w:val="single" w:color="auto" w:sz="8" w:space="0"/>
            </w:tcBorders>
            <w:noWrap/>
            <w:vAlign w:val="center"/>
          </w:tcPr>
          <w:p w14:paraId="228CE235">
            <w:pPr>
              <w:shd w:val="clear"/>
              <w:jc w:val="center"/>
              <w:rPr>
                <w:szCs w:val="21"/>
                <w:highlight w:val="none"/>
              </w:rPr>
            </w:pPr>
            <w:r>
              <w:rPr>
                <w:rFonts w:hint="eastAsia"/>
                <w:szCs w:val="21"/>
                <w:highlight w:val="none"/>
              </w:rPr>
              <w:t>联系电话</w:t>
            </w:r>
          </w:p>
        </w:tc>
        <w:tc>
          <w:tcPr>
            <w:tcW w:w="2268" w:type="dxa"/>
            <w:tcBorders>
              <w:top w:val="nil"/>
              <w:left w:val="nil"/>
              <w:bottom w:val="single" w:color="auto" w:sz="8" w:space="0"/>
              <w:right w:val="single" w:color="auto" w:sz="8" w:space="0"/>
            </w:tcBorders>
            <w:noWrap/>
            <w:vAlign w:val="center"/>
          </w:tcPr>
          <w:p w14:paraId="3FBFBA92">
            <w:pPr>
              <w:shd w:val="clear"/>
              <w:jc w:val="center"/>
              <w:rPr>
                <w:szCs w:val="21"/>
                <w:highlight w:val="none"/>
              </w:rPr>
            </w:pPr>
            <w:r>
              <w:rPr>
                <w:rFonts w:hint="eastAsia"/>
                <w:szCs w:val="21"/>
                <w:highlight w:val="none"/>
              </w:rPr>
              <w:t>包号</w:t>
            </w:r>
          </w:p>
        </w:tc>
      </w:tr>
      <w:tr w14:paraId="3700EE46">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D55D129">
            <w:pPr>
              <w:shd w:val="clear"/>
              <w:jc w:val="center"/>
              <w:rPr>
                <w:color w:val="000000"/>
                <w:szCs w:val="21"/>
                <w:highlight w:val="none"/>
              </w:rPr>
            </w:pPr>
            <w:r>
              <w:rPr>
                <w:rFonts w:hint="eastAsia"/>
                <w:color w:val="000000"/>
                <w:szCs w:val="21"/>
                <w:highlight w:val="none"/>
              </w:rPr>
              <w:t>1</w:t>
            </w:r>
          </w:p>
        </w:tc>
        <w:tc>
          <w:tcPr>
            <w:tcW w:w="2977" w:type="dxa"/>
            <w:gridSpan w:val="2"/>
            <w:tcBorders>
              <w:top w:val="single" w:color="auto" w:sz="8" w:space="0"/>
              <w:left w:val="nil"/>
              <w:bottom w:val="single" w:color="auto" w:sz="8" w:space="0"/>
              <w:right w:val="single" w:color="000000" w:sz="8" w:space="0"/>
            </w:tcBorders>
            <w:noWrap/>
            <w:vAlign w:val="center"/>
          </w:tcPr>
          <w:p w14:paraId="729A3404">
            <w:pPr>
              <w:shd w:val="clear"/>
              <w:jc w:val="center"/>
              <w:rPr>
                <w:color w:val="000000"/>
                <w:szCs w:val="21"/>
                <w:highlight w:val="none"/>
              </w:rPr>
            </w:pPr>
            <w:r>
              <w:rPr>
                <w:rFonts w:hint="eastAsia"/>
                <w:color w:val="000000"/>
                <w:szCs w:val="21"/>
                <w:highlight w:val="none"/>
              </w:rPr>
              <w:t>　</w:t>
            </w:r>
          </w:p>
        </w:tc>
        <w:tc>
          <w:tcPr>
            <w:tcW w:w="993" w:type="dxa"/>
            <w:tcBorders>
              <w:top w:val="nil"/>
              <w:left w:val="nil"/>
              <w:bottom w:val="single" w:color="auto" w:sz="8" w:space="0"/>
              <w:right w:val="single" w:color="auto" w:sz="8" w:space="0"/>
            </w:tcBorders>
            <w:noWrap/>
            <w:vAlign w:val="center"/>
          </w:tcPr>
          <w:p w14:paraId="433E758E">
            <w:pPr>
              <w:shd w:val="clear"/>
              <w:jc w:val="center"/>
              <w:rPr>
                <w:color w:val="000000"/>
                <w:szCs w:val="21"/>
                <w:highlight w:val="none"/>
              </w:rPr>
            </w:pPr>
            <w:r>
              <w:rPr>
                <w:rFonts w:hint="eastAsia"/>
                <w:color w:val="000000"/>
                <w:szCs w:val="21"/>
                <w:highlight w:val="none"/>
              </w:rPr>
              <w:t>　</w:t>
            </w:r>
          </w:p>
        </w:tc>
        <w:tc>
          <w:tcPr>
            <w:tcW w:w="426" w:type="dxa"/>
            <w:tcBorders>
              <w:top w:val="nil"/>
              <w:left w:val="nil"/>
              <w:bottom w:val="single" w:color="auto" w:sz="8" w:space="0"/>
              <w:right w:val="single" w:color="auto" w:sz="8" w:space="0"/>
            </w:tcBorders>
            <w:noWrap/>
            <w:vAlign w:val="center"/>
          </w:tcPr>
          <w:p w14:paraId="04A4260E">
            <w:pPr>
              <w:shd w:val="clear"/>
              <w:jc w:val="center"/>
              <w:rPr>
                <w:color w:val="000000"/>
                <w:szCs w:val="21"/>
                <w:highlight w:val="none"/>
              </w:rPr>
            </w:pPr>
            <w:r>
              <w:rPr>
                <w:rFonts w:hint="eastAsia"/>
                <w:color w:val="000000"/>
                <w:szCs w:val="21"/>
                <w:highlight w:val="none"/>
              </w:rPr>
              <w:t>　</w:t>
            </w:r>
          </w:p>
        </w:tc>
        <w:tc>
          <w:tcPr>
            <w:tcW w:w="849" w:type="dxa"/>
            <w:tcBorders>
              <w:top w:val="nil"/>
              <w:left w:val="nil"/>
              <w:bottom w:val="single" w:color="auto" w:sz="8" w:space="0"/>
              <w:right w:val="single" w:color="auto" w:sz="8" w:space="0"/>
            </w:tcBorders>
            <w:noWrap/>
            <w:vAlign w:val="center"/>
          </w:tcPr>
          <w:p w14:paraId="699D61F8">
            <w:pPr>
              <w:shd w:val="clear"/>
              <w:jc w:val="center"/>
              <w:rPr>
                <w:color w:val="000000"/>
                <w:szCs w:val="21"/>
                <w:highlight w:val="none"/>
              </w:rPr>
            </w:pPr>
            <w:r>
              <w:rPr>
                <w:rFonts w:hint="eastAsia"/>
                <w:color w:val="000000"/>
                <w:szCs w:val="21"/>
                <w:highlight w:val="none"/>
              </w:rPr>
              <w:t>　</w:t>
            </w:r>
          </w:p>
        </w:tc>
        <w:tc>
          <w:tcPr>
            <w:tcW w:w="1701" w:type="dxa"/>
            <w:tcBorders>
              <w:top w:val="nil"/>
              <w:left w:val="nil"/>
              <w:bottom w:val="single" w:color="auto" w:sz="8" w:space="0"/>
              <w:right w:val="single" w:color="auto" w:sz="8" w:space="0"/>
            </w:tcBorders>
            <w:noWrap/>
            <w:vAlign w:val="center"/>
          </w:tcPr>
          <w:p w14:paraId="4BA5C19A">
            <w:pPr>
              <w:shd w:val="clear"/>
              <w:jc w:val="center"/>
              <w:rPr>
                <w:color w:val="000000"/>
                <w:szCs w:val="21"/>
                <w:highlight w:val="none"/>
              </w:rPr>
            </w:pPr>
            <w:r>
              <w:rPr>
                <w:rFonts w:hint="eastAsia"/>
                <w:color w:val="000000"/>
                <w:szCs w:val="21"/>
                <w:highlight w:val="none"/>
              </w:rPr>
              <w:t>　</w:t>
            </w:r>
          </w:p>
        </w:tc>
        <w:tc>
          <w:tcPr>
            <w:tcW w:w="2268" w:type="dxa"/>
            <w:tcBorders>
              <w:top w:val="nil"/>
              <w:left w:val="nil"/>
              <w:bottom w:val="single" w:color="auto" w:sz="8" w:space="0"/>
              <w:right w:val="single" w:color="auto" w:sz="8" w:space="0"/>
            </w:tcBorders>
            <w:noWrap/>
            <w:vAlign w:val="center"/>
          </w:tcPr>
          <w:p w14:paraId="34DFAE05">
            <w:pPr>
              <w:shd w:val="clear"/>
              <w:jc w:val="center"/>
              <w:rPr>
                <w:color w:val="000000"/>
                <w:szCs w:val="21"/>
                <w:highlight w:val="none"/>
              </w:rPr>
            </w:pPr>
            <w:r>
              <w:rPr>
                <w:rFonts w:hint="eastAsia"/>
                <w:color w:val="000000"/>
                <w:szCs w:val="21"/>
                <w:highlight w:val="none"/>
              </w:rPr>
              <w:t>　</w:t>
            </w:r>
          </w:p>
        </w:tc>
      </w:tr>
      <w:tr w14:paraId="13ABFB56">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71D7FD38">
            <w:pPr>
              <w:shd w:val="clear"/>
              <w:jc w:val="center"/>
              <w:rPr>
                <w:color w:val="000000"/>
                <w:szCs w:val="21"/>
                <w:highlight w:val="none"/>
              </w:rPr>
            </w:pPr>
            <w:r>
              <w:rPr>
                <w:rFonts w:hint="eastAsia"/>
                <w:color w:val="000000"/>
                <w:szCs w:val="21"/>
                <w:highlight w:val="none"/>
              </w:rPr>
              <w:t>2</w:t>
            </w:r>
          </w:p>
        </w:tc>
        <w:tc>
          <w:tcPr>
            <w:tcW w:w="2977" w:type="dxa"/>
            <w:gridSpan w:val="2"/>
            <w:tcBorders>
              <w:top w:val="single" w:color="auto" w:sz="8" w:space="0"/>
              <w:left w:val="nil"/>
              <w:bottom w:val="single" w:color="auto" w:sz="8" w:space="0"/>
              <w:right w:val="single" w:color="000000" w:sz="8" w:space="0"/>
            </w:tcBorders>
            <w:noWrap/>
            <w:vAlign w:val="center"/>
          </w:tcPr>
          <w:p w14:paraId="38422A66">
            <w:pPr>
              <w:shd w:val="clear"/>
              <w:jc w:val="center"/>
              <w:rPr>
                <w:color w:val="000000"/>
                <w:szCs w:val="21"/>
                <w:highlight w:val="none"/>
              </w:rPr>
            </w:pPr>
            <w:r>
              <w:rPr>
                <w:rFonts w:hint="eastAsia"/>
                <w:color w:val="000000"/>
                <w:szCs w:val="21"/>
                <w:highlight w:val="none"/>
              </w:rPr>
              <w:t>　</w:t>
            </w:r>
          </w:p>
        </w:tc>
        <w:tc>
          <w:tcPr>
            <w:tcW w:w="993" w:type="dxa"/>
            <w:tcBorders>
              <w:top w:val="nil"/>
              <w:left w:val="nil"/>
              <w:bottom w:val="single" w:color="auto" w:sz="8" w:space="0"/>
              <w:right w:val="single" w:color="auto" w:sz="8" w:space="0"/>
            </w:tcBorders>
            <w:noWrap/>
            <w:vAlign w:val="center"/>
          </w:tcPr>
          <w:p w14:paraId="3929699D">
            <w:pPr>
              <w:shd w:val="clear"/>
              <w:jc w:val="center"/>
              <w:rPr>
                <w:color w:val="000000"/>
                <w:szCs w:val="21"/>
                <w:highlight w:val="none"/>
              </w:rPr>
            </w:pPr>
            <w:r>
              <w:rPr>
                <w:rFonts w:hint="eastAsia"/>
                <w:color w:val="000000"/>
                <w:szCs w:val="21"/>
                <w:highlight w:val="none"/>
              </w:rPr>
              <w:t>　</w:t>
            </w:r>
          </w:p>
        </w:tc>
        <w:tc>
          <w:tcPr>
            <w:tcW w:w="426" w:type="dxa"/>
            <w:tcBorders>
              <w:top w:val="nil"/>
              <w:left w:val="nil"/>
              <w:bottom w:val="single" w:color="auto" w:sz="8" w:space="0"/>
              <w:right w:val="single" w:color="auto" w:sz="8" w:space="0"/>
            </w:tcBorders>
            <w:noWrap/>
            <w:vAlign w:val="center"/>
          </w:tcPr>
          <w:p w14:paraId="2C73C007">
            <w:pPr>
              <w:shd w:val="clear"/>
              <w:jc w:val="center"/>
              <w:rPr>
                <w:color w:val="000000"/>
                <w:szCs w:val="21"/>
                <w:highlight w:val="none"/>
              </w:rPr>
            </w:pPr>
            <w:r>
              <w:rPr>
                <w:rFonts w:hint="eastAsia"/>
                <w:color w:val="000000"/>
                <w:szCs w:val="21"/>
                <w:highlight w:val="none"/>
              </w:rPr>
              <w:t>　</w:t>
            </w:r>
          </w:p>
        </w:tc>
        <w:tc>
          <w:tcPr>
            <w:tcW w:w="849" w:type="dxa"/>
            <w:tcBorders>
              <w:top w:val="nil"/>
              <w:left w:val="nil"/>
              <w:bottom w:val="single" w:color="auto" w:sz="8" w:space="0"/>
              <w:right w:val="single" w:color="auto" w:sz="8" w:space="0"/>
            </w:tcBorders>
            <w:noWrap/>
            <w:vAlign w:val="center"/>
          </w:tcPr>
          <w:p w14:paraId="6E8C8ED9">
            <w:pPr>
              <w:shd w:val="clear"/>
              <w:jc w:val="center"/>
              <w:rPr>
                <w:color w:val="000000"/>
                <w:szCs w:val="21"/>
                <w:highlight w:val="none"/>
              </w:rPr>
            </w:pPr>
            <w:r>
              <w:rPr>
                <w:rFonts w:hint="eastAsia"/>
                <w:color w:val="000000"/>
                <w:szCs w:val="21"/>
                <w:highlight w:val="none"/>
              </w:rPr>
              <w:t>　</w:t>
            </w:r>
          </w:p>
        </w:tc>
        <w:tc>
          <w:tcPr>
            <w:tcW w:w="1701" w:type="dxa"/>
            <w:tcBorders>
              <w:top w:val="nil"/>
              <w:left w:val="nil"/>
              <w:bottom w:val="single" w:color="auto" w:sz="8" w:space="0"/>
              <w:right w:val="single" w:color="auto" w:sz="8" w:space="0"/>
            </w:tcBorders>
            <w:noWrap/>
            <w:vAlign w:val="center"/>
          </w:tcPr>
          <w:p w14:paraId="1D9599EA">
            <w:pPr>
              <w:shd w:val="clear"/>
              <w:jc w:val="center"/>
              <w:rPr>
                <w:color w:val="000000"/>
                <w:szCs w:val="21"/>
                <w:highlight w:val="none"/>
              </w:rPr>
            </w:pPr>
            <w:r>
              <w:rPr>
                <w:rFonts w:hint="eastAsia"/>
                <w:color w:val="000000"/>
                <w:szCs w:val="21"/>
                <w:highlight w:val="none"/>
              </w:rPr>
              <w:t>　</w:t>
            </w:r>
          </w:p>
        </w:tc>
        <w:tc>
          <w:tcPr>
            <w:tcW w:w="2268" w:type="dxa"/>
            <w:tcBorders>
              <w:top w:val="nil"/>
              <w:left w:val="nil"/>
              <w:bottom w:val="single" w:color="auto" w:sz="8" w:space="0"/>
              <w:right w:val="single" w:color="auto" w:sz="8" w:space="0"/>
            </w:tcBorders>
            <w:noWrap/>
            <w:vAlign w:val="center"/>
          </w:tcPr>
          <w:p w14:paraId="4D419FF7">
            <w:pPr>
              <w:shd w:val="clear"/>
              <w:jc w:val="center"/>
              <w:rPr>
                <w:color w:val="000000"/>
                <w:szCs w:val="21"/>
                <w:highlight w:val="none"/>
              </w:rPr>
            </w:pPr>
            <w:r>
              <w:rPr>
                <w:rFonts w:hint="eastAsia"/>
                <w:color w:val="000000"/>
                <w:szCs w:val="21"/>
                <w:highlight w:val="none"/>
              </w:rPr>
              <w:t>　</w:t>
            </w:r>
          </w:p>
        </w:tc>
      </w:tr>
      <w:tr w14:paraId="37A5CC7F">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444B2586">
            <w:pPr>
              <w:shd w:val="clear"/>
              <w:jc w:val="center"/>
              <w:rPr>
                <w:color w:val="000000"/>
                <w:szCs w:val="21"/>
                <w:highlight w:val="none"/>
              </w:rPr>
            </w:pPr>
            <w:r>
              <w:rPr>
                <w:rFonts w:hint="eastAsia"/>
                <w:color w:val="000000"/>
                <w:szCs w:val="21"/>
                <w:highlight w:val="none"/>
              </w:rPr>
              <w:t>3</w:t>
            </w:r>
          </w:p>
        </w:tc>
        <w:tc>
          <w:tcPr>
            <w:tcW w:w="2977" w:type="dxa"/>
            <w:gridSpan w:val="2"/>
            <w:tcBorders>
              <w:top w:val="single" w:color="auto" w:sz="8" w:space="0"/>
              <w:left w:val="nil"/>
              <w:bottom w:val="single" w:color="auto" w:sz="8" w:space="0"/>
              <w:right w:val="single" w:color="000000" w:sz="8" w:space="0"/>
            </w:tcBorders>
            <w:noWrap/>
            <w:vAlign w:val="center"/>
          </w:tcPr>
          <w:p w14:paraId="07D189C3">
            <w:pPr>
              <w:shd w:val="clear"/>
              <w:jc w:val="center"/>
              <w:rPr>
                <w:color w:val="000000"/>
                <w:szCs w:val="21"/>
                <w:highlight w:val="none"/>
              </w:rPr>
            </w:pPr>
            <w:r>
              <w:rPr>
                <w:rFonts w:hint="eastAsia"/>
                <w:color w:val="000000"/>
                <w:szCs w:val="21"/>
                <w:highlight w:val="none"/>
              </w:rPr>
              <w:t>　</w:t>
            </w:r>
          </w:p>
        </w:tc>
        <w:tc>
          <w:tcPr>
            <w:tcW w:w="993" w:type="dxa"/>
            <w:tcBorders>
              <w:top w:val="nil"/>
              <w:left w:val="nil"/>
              <w:bottom w:val="single" w:color="auto" w:sz="8" w:space="0"/>
              <w:right w:val="single" w:color="auto" w:sz="8" w:space="0"/>
            </w:tcBorders>
            <w:noWrap/>
            <w:vAlign w:val="center"/>
          </w:tcPr>
          <w:p w14:paraId="6AA9031A">
            <w:pPr>
              <w:shd w:val="clear"/>
              <w:jc w:val="center"/>
              <w:rPr>
                <w:color w:val="000000"/>
                <w:szCs w:val="21"/>
                <w:highlight w:val="none"/>
              </w:rPr>
            </w:pPr>
            <w:r>
              <w:rPr>
                <w:rFonts w:hint="eastAsia"/>
                <w:color w:val="000000"/>
                <w:szCs w:val="21"/>
                <w:highlight w:val="none"/>
              </w:rPr>
              <w:t>　</w:t>
            </w:r>
          </w:p>
        </w:tc>
        <w:tc>
          <w:tcPr>
            <w:tcW w:w="426" w:type="dxa"/>
            <w:tcBorders>
              <w:top w:val="nil"/>
              <w:left w:val="nil"/>
              <w:bottom w:val="single" w:color="auto" w:sz="8" w:space="0"/>
              <w:right w:val="single" w:color="auto" w:sz="8" w:space="0"/>
            </w:tcBorders>
            <w:noWrap/>
            <w:vAlign w:val="center"/>
          </w:tcPr>
          <w:p w14:paraId="110BCBF9">
            <w:pPr>
              <w:shd w:val="clear"/>
              <w:jc w:val="center"/>
              <w:rPr>
                <w:color w:val="000000"/>
                <w:szCs w:val="21"/>
                <w:highlight w:val="none"/>
              </w:rPr>
            </w:pPr>
            <w:r>
              <w:rPr>
                <w:rFonts w:hint="eastAsia"/>
                <w:color w:val="000000"/>
                <w:szCs w:val="21"/>
                <w:highlight w:val="none"/>
              </w:rPr>
              <w:t>　</w:t>
            </w:r>
          </w:p>
        </w:tc>
        <w:tc>
          <w:tcPr>
            <w:tcW w:w="849" w:type="dxa"/>
            <w:tcBorders>
              <w:top w:val="nil"/>
              <w:left w:val="nil"/>
              <w:bottom w:val="single" w:color="auto" w:sz="8" w:space="0"/>
              <w:right w:val="single" w:color="auto" w:sz="8" w:space="0"/>
            </w:tcBorders>
            <w:noWrap/>
            <w:vAlign w:val="center"/>
          </w:tcPr>
          <w:p w14:paraId="2A4FB3BE">
            <w:pPr>
              <w:shd w:val="clear"/>
              <w:jc w:val="center"/>
              <w:rPr>
                <w:color w:val="000000"/>
                <w:szCs w:val="21"/>
                <w:highlight w:val="none"/>
              </w:rPr>
            </w:pPr>
            <w:r>
              <w:rPr>
                <w:rFonts w:hint="eastAsia"/>
                <w:color w:val="000000"/>
                <w:szCs w:val="21"/>
                <w:highlight w:val="none"/>
              </w:rPr>
              <w:t>　</w:t>
            </w:r>
          </w:p>
        </w:tc>
        <w:tc>
          <w:tcPr>
            <w:tcW w:w="1701" w:type="dxa"/>
            <w:tcBorders>
              <w:top w:val="nil"/>
              <w:left w:val="nil"/>
              <w:bottom w:val="single" w:color="auto" w:sz="8" w:space="0"/>
              <w:right w:val="single" w:color="auto" w:sz="8" w:space="0"/>
            </w:tcBorders>
            <w:noWrap/>
            <w:vAlign w:val="center"/>
          </w:tcPr>
          <w:p w14:paraId="1A438CB9">
            <w:pPr>
              <w:shd w:val="clear"/>
              <w:jc w:val="center"/>
              <w:rPr>
                <w:color w:val="000000"/>
                <w:szCs w:val="21"/>
                <w:highlight w:val="none"/>
              </w:rPr>
            </w:pPr>
            <w:r>
              <w:rPr>
                <w:rFonts w:hint="eastAsia"/>
                <w:color w:val="000000"/>
                <w:szCs w:val="21"/>
                <w:highlight w:val="none"/>
              </w:rPr>
              <w:t>　</w:t>
            </w:r>
          </w:p>
        </w:tc>
        <w:tc>
          <w:tcPr>
            <w:tcW w:w="2268" w:type="dxa"/>
            <w:tcBorders>
              <w:top w:val="nil"/>
              <w:left w:val="nil"/>
              <w:bottom w:val="single" w:color="auto" w:sz="8" w:space="0"/>
              <w:right w:val="single" w:color="auto" w:sz="8" w:space="0"/>
            </w:tcBorders>
            <w:noWrap/>
            <w:vAlign w:val="center"/>
          </w:tcPr>
          <w:p w14:paraId="6FB9A95A">
            <w:pPr>
              <w:shd w:val="clear"/>
              <w:jc w:val="center"/>
              <w:rPr>
                <w:color w:val="000000"/>
                <w:szCs w:val="21"/>
                <w:highlight w:val="none"/>
              </w:rPr>
            </w:pPr>
            <w:r>
              <w:rPr>
                <w:rFonts w:hint="eastAsia"/>
                <w:color w:val="000000"/>
                <w:szCs w:val="21"/>
                <w:highlight w:val="none"/>
              </w:rPr>
              <w:t>　</w:t>
            </w:r>
          </w:p>
        </w:tc>
      </w:tr>
      <w:tr w14:paraId="40B4A1CD">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C992BAC">
            <w:pPr>
              <w:shd w:val="clear"/>
              <w:jc w:val="center"/>
              <w:rPr>
                <w:color w:val="000000"/>
                <w:szCs w:val="21"/>
                <w:highlight w:val="none"/>
              </w:rPr>
            </w:pPr>
            <w:r>
              <w:rPr>
                <w:rFonts w:hint="eastAsia"/>
                <w:color w:val="000000"/>
                <w:szCs w:val="21"/>
                <w:highlight w:val="none"/>
              </w:rPr>
              <w:t>4</w:t>
            </w:r>
          </w:p>
        </w:tc>
        <w:tc>
          <w:tcPr>
            <w:tcW w:w="2977" w:type="dxa"/>
            <w:gridSpan w:val="2"/>
            <w:tcBorders>
              <w:top w:val="single" w:color="auto" w:sz="8" w:space="0"/>
              <w:left w:val="nil"/>
              <w:bottom w:val="single" w:color="auto" w:sz="8" w:space="0"/>
              <w:right w:val="single" w:color="000000" w:sz="8" w:space="0"/>
            </w:tcBorders>
            <w:noWrap/>
            <w:vAlign w:val="center"/>
          </w:tcPr>
          <w:p w14:paraId="745A165A">
            <w:pPr>
              <w:shd w:val="clear"/>
              <w:jc w:val="center"/>
              <w:rPr>
                <w:color w:val="000000"/>
                <w:szCs w:val="21"/>
                <w:highlight w:val="none"/>
              </w:rPr>
            </w:pPr>
          </w:p>
        </w:tc>
        <w:tc>
          <w:tcPr>
            <w:tcW w:w="993" w:type="dxa"/>
            <w:tcBorders>
              <w:top w:val="nil"/>
              <w:left w:val="nil"/>
              <w:bottom w:val="single" w:color="auto" w:sz="8" w:space="0"/>
              <w:right w:val="single" w:color="auto" w:sz="8" w:space="0"/>
            </w:tcBorders>
            <w:noWrap/>
            <w:vAlign w:val="center"/>
          </w:tcPr>
          <w:p w14:paraId="41BEE240">
            <w:pPr>
              <w:shd w:val="clear"/>
              <w:jc w:val="center"/>
              <w:rPr>
                <w:color w:val="000000"/>
                <w:szCs w:val="21"/>
                <w:highlight w:val="none"/>
              </w:rPr>
            </w:pPr>
          </w:p>
        </w:tc>
        <w:tc>
          <w:tcPr>
            <w:tcW w:w="426" w:type="dxa"/>
            <w:tcBorders>
              <w:top w:val="nil"/>
              <w:left w:val="nil"/>
              <w:bottom w:val="single" w:color="auto" w:sz="8" w:space="0"/>
              <w:right w:val="single" w:color="auto" w:sz="8" w:space="0"/>
            </w:tcBorders>
            <w:noWrap/>
            <w:vAlign w:val="center"/>
          </w:tcPr>
          <w:p w14:paraId="09592B97">
            <w:pPr>
              <w:shd w:val="clear"/>
              <w:jc w:val="center"/>
              <w:rPr>
                <w:color w:val="000000"/>
                <w:szCs w:val="21"/>
                <w:highlight w:val="none"/>
              </w:rPr>
            </w:pPr>
          </w:p>
        </w:tc>
        <w:tc>
          <w:tcPr>
            <w:tcW w:w="849" w:type="dxa"/>
            <w:tcBorders>
              <w:top w:val="nil"/>
              <w:left w:val="nil"/>
              <w:bottom w:val="single" w:color="auto" w:sz="8" w:space="0"/>
              <w:right w:val="single" w:color="auto" w:sz="8" w:space="0"/>
            </w:tcBorders>
            <w:noWrap/>
            <w:vAlign w:val="center"/>
          </w:tcPr>
          <w:p w14:paraId="30CE3338">
            <w:pPr>
              <w:shd w:val="clear"/>
              <w:jc w:val="center"/>
              <w:rPr>
                <w:color w:val="000000"/>
                <w:szCs w:val="21"/>
                <w:highlight w:val="none"/>
              </w:rPr>
            </w:pPr>
          </w:p>
        </w:tc>
        <w:tc>
          <w:tcPr>
            <w:tcW w:w="1701" w:type="dxa"/>
            <w:tcBorders>
              <w:top w:val="nil"/>
              <w:left w:val="nil"/>
              <w:bottom w:val="single" w:color="auto" w:sz="8" w:space="0"/>
              <w:right w:val="single" w:color="auto" w:sz="8" w:space="0"/>
            </w:tcBorders>
            <w:noWrap/>
            <w:vAlign w:val="center"/>
          </w:tcPr>
          <w:p w14:paraId="23476118">
            <w:pPr>
              <w:shd w:val="clear"/>
              <w:jc w:val="center"/>
              <w:rPr>
                <w:color w:val="000000"/>
                <w:szCs w:val="21"/>
                <w:highlight w:val="none"/>
              </w:rPr>
            </w:pPr>
          </w:p>
        </w:tc>
        <w:tc>
          <w:tcPr>
            <w:tcW w:w="2268" w:type="dxa"/>
            <w:tcBorders>
              <w:top w:val="nil"/>
              <w:left w:val="nil"/>
              <w:bottom w:val="single" w:color="auto" w:sz="8" w:space="0"/>
              <w:right w:val="single" w:color="auto" w:sz="8" w:space="0"/>
            </w:tcBorders>
            <w:noWrap/>
            <w:vAlign w:val="center"/>
          </w:tcPr>
          <w:p w14:paraId="3F06C62C">
            <w:pPr>
              <w:shd w:val="clear"/>
              <w:jc w:val="center"/>
              <w:rPr>
                <w:color w:val="000000"/>
                <w:szCs w:val="21"/>
                <w:highlight w:val="none"/>
              </w:rPr>
            </w:pPr>
          </w:p>
        </w:tc>
      </w:tr>
      <w:tr w14:paraId="63BE6E81">
        <w:tblPrEx>
          <w:tblCellMar>
            <w:top w:w="0" w:type="dxa"/>
            <w:left w:w="108" w:type="dxa"/>
            <w:bottom w:w="0" w:type="dxa"/>
            <w:right w:w="108" w:type="dxa"/>
          </w:tblCellMar>
        </w:tblPrEx>
        <w:trPr>
          <w:trHeight w:val="300" w:hRule="atLeast"/>
        </w:trPr>
        <w:tc>
          <w:tcPr>
            <w:tcW w:w="9781" w:type="dxa"/>
            <w:gridSpan w:val="8"/>
            <w:tcBorders>
              <w:top w:val="single" w:color="auto" w:sz="8" w:space="0"/>
              <w:left w:val="single" w:color="auto" w:sz="8" w:space="0"/>
              <w:bottom w:val="single" w:color="auto" w:sz="8" w:space="0"/>
              <w:right w:val="single" w:color="000000" w:sz="8" w:space="0"/>
            </w:tcBorders>
            <w:noWrap/>
            <w:vAlign w:val="center"/>
          </w:tcPr>
          <w:p w14:paraId="7F13C054">
            <w:pPr>
              <w:shd w:val="clear"/>
              <w:jc w:val="center"/>
              <w:rPr>
                <w:color w:val="000000"/>
                <w:szCs w:val="21"/>
                <w:highlight w:val="none"/>
              </w:rPr>
            </w:pPr>
            <w:r>
              <w:rPr>
                <w:rFonts w:hint="eastAsia"/>
                <w:color w:val="000000"/>
                <w:szCs w:val="21"/>
                <w:highlight w:val="none"/>
              </w:rPr>
              <w:t>资格审查情况说明</w:t>
            </w:r>
          </w:p>
        </w:tc>
      </w:tr>
      <w:tr w14:paraId="02F741C3">
        <w:tblPrEx>
          <w:tblCellMar>
            <w:top w:w="0" w:type="dxa"/>
            <w:left w:w="108" w:type="dxa"/>
            <w:bottom w:w="0" w:type="dxa"/>
            <w:right w:w="108" w:type="dxa"/>
          </w:tblCellMar>
        </w:tblPrEx>
        <w:trPr>
          <w:trHeight w:val="20" w:hRule="exact"/>
        </w:trPr>
        <w:tc>
          <w:tcPr>
            <w:tcW w:w="567" w:type="dxa"/>
            <w:gridSpan w:val="8"/>
            <w:vMerge w:val="restart"/>
            <w:tcBorders>
              <w:top w:val="single" w:color="auto" w:sz="8" w:space="0"/>
              <w:left w:val="single" w:color="auto" w:sz="8" w:space="0"/>
              <w:bottom w:val="single" w:color="000000" w:sz="8" w:space="0"/>
              <w:right w:val="single" w:color="000000" w:sz="8" w:space="0"/>
            </w:tcBorders>
            <w:noWrap/>
            <w:vAlign w:val="top"/>
          </w:tcPr>
          <w:p w14:paraId="38E71AEC">
            <w:pPr>
              <w:shd w:val="clear"/>
              <w:rPr>
                <w:color w:val="000000"/>
                <w:szCs w:val="21"/>
                <w:highlight w:val="none"/>
              </w:rPr>
            </w:pPr>
            <w:r>
              <w:rPr>
                <w:rFonts w:hint="eastAsia"/>
                <w:color w:val="000000"/>
                <w:szCs w:val="21"/>
                <w:highlight w:val="none"/>
              </w:rPr>
              <w:t>（资质、业绩、技术、能力，投标保证金等方面）</w:t>
            </w:r>
          </w:p>
          <w:p w14:paraId="1E78B1BA">
            <w:pPr>
              <w:shd w:val="clear"/>
              <w:rPr>
                <w:szCs w:val="21"/>
                <w:highlight w:val="none"/>
              </w:rPr>
            </w:pPr>
          </w:p>
          <w:p w14:paraId="7BDCF733">
            <w:pPr>
              <w:shd w:val="clear"/>
              <w:tabs>
                <w:tab w:val="left" w:pos="3171"/>
              </w:tabs>
              <w:rPr>
                <w:szCs w:val="21"/>
                <w:highlight w:val="none"/>
              </w:rPr>
            </w:pPr>
          </w:p>
        </w:tc>
      </w:tr>
      <w:tr w14:paraId="1D5B29E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D4FFC6E">
            <w:pPr>
              <w:shd w:val="clear"/>
              <w:rPr>
                <w:color w:val="000000"/>
                <w:szCs w:val="21"/>
                <w:highlight w:val="none"/>
              </w:rPr>
            </w:pPr>
          </w:p>
        </w:tc>
      </w:tr>
      <w:tr w14:paraId="75953028">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149A89D">
            <w:pPr>
              <w:shd w:val="clear"/>
              <w:rPr>
                <w:color w:val="000000"/>
                <w:szCs w:val="21"/>
                <w:highlight w:val="none"/>
              </w:rPr>
            </w:pPr>
          </w:p>
        </w:tc>
      </w:tr>
      <w:tr w14:paraId="281B3A2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8FECC3A">
            <w:pPr>
              <w:shd w:val="clear"/>
              <w:rPr>
                <w:color w:val="000000"/>
                <w:szCs w:val="21"/>
                <w:highlight w:val="none"/>
              </w:rPr>
            </w:pPr>
          </w:p>
        </w:tc>
      </w:tr>
      <w:tr w14:paraId="009C5FF2">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045F4F1">
            <w:pPr>
              <w:shd w:val="clear"/>
              <w:rPr>
                <w:color w:val="000000"/>
                <w:szCs w:val="21"/>
                <w:highlight w:val="none"/>
              </w:rPr>
            </w:pPr>
          </w:p>
        </w:tc>
      </w:tr>
      <w:tr w14:paraId="29A7FCB0">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72581FC">
            <w:pPr>
              <w:shd w:val="clear"/>
              <w:rPr>
                <w:color w:val="000000"/>
                <w:szCs w:val="21"/>
                <w:highlight w:val="none"/>
              </w:rPr>
            </w:pPr>
          </w:p>
        </w:tc>
      </w:tr>
      <w:tr w14:paraId="7A5D1E9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9CBAD1E">
            <w:pPr>
              <w:shd w:val="clear"/>
              <w:rPr>
                <w:color w:val="000000"/>
                <w:szCs w:val="21"/>
                <w:highlight w:val="none"/>
              </w:rPr>
            </w:pPr>
          </w:p>
        </w:tc>
      </w:tr>
      <w:tr w14:paraId="4B3D6EC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EDD37A6">
            <w:pPr>
              <w:shd w:val="clear"/>
              <w:rPr>
                <w:color w:val="000000"/>
                <w:szCs w:val="21"/>
                <w:highlight w:val="none"/>
              </w:rPr>
            </w:pPr>
          </w:p>
        </w:tc>
      </w:tr>
      <w:tr w14:paraId="010446B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9874F7D">
            <w:pPr>
              <w:shd w:val="clear"/>
              <w:rPr>
                <w:color w:val="000000"/>
                <w:szCs w:val="21"/>
                <w:highlight w:val="none"/>
              </w:rPr>
            </w:pPr>
          </w:p>
        </w:tc>
      </w:tr>
      <w:tr w14:paraId="4370D1F2">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35168BC">
            <w:pPr>
              <w:shd w:val="clear"/>
              <w:rPr>
                <w:color w:val="000000"/>
                <w:szCs w:val="21"/>
                <w:highlight w:val="none"/>
              </w:rPr>
            </w:pPr>
          </w:p>
        </w:tc>
      </w:tr>
      <w:tr w14:paraId="4FEC0BA0">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E4A7FAD">
            <w:pPr>
              <w:shd w:val="clear"/>
              <w:rPr>
                <w:color w:val="000000"/>
                <w:szCs w:val="21"/>
                <w:highlight w:val="none"/>
              </w:rPr>
            </w:pPr>
          </w:p>
        </w:tc>
      </w:tr>
      <w:tr w14:paraId="758D665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94578F2">
            <w:pPr>
              <w:shd w:val="clear"/>
              <w:rPr>
                <w:color w:val="000000"/>
                <w:szCs w:val="21"/>
                <w:highlight w:val="none"/>
              </w:rPr>
            </w:pPr>
          </w:p>
        </w:tc>
      </w:tr>
      <w:tr w14:paraId="172AF36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42FF527">
            <w:pPr>
              <w:shd w:val="clear"/>
              <w:rPr>
                <w:color w:val="000000"/>
                <w:szCs w:val="21"/>
                <w:highlight w:val="none"/>
              </w:rPr>
            </w:pPr>
          </w:p>
        </w:tc>
      </w:tr>
      <w:tr w14:paraId="05987F5E">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5B0CAB4">
            <w:pPr>
              <w:shd w:val="clear"/>
              <w:rPr>
                <w:color w:val="000000"/>
                <w:szCs w:val="21"/>
                <w:highlight w:val="none"/>
              </w:rPr>
            </w:pPr>
          </w:p>
        </w:tc>
      </w:tr>
      <w:tr w14:paraId="11F54524">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D02D163">
            <w:pPr>
              <w:shd w:val="clear"/>
              <w:rPr>
                <w:color w:val="000000"/>
                <w:szCs w:val="21"/>
                <w:highlight w:val="none"/>
              </w:rPr>
            </w:pPr>
          </w:p>
        </w:tc>
      </w:tr>
      <w:tr w14:paraId="1B11A7A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D90F21D">
            <w:pPr>
              <w:shd w:val="clear"/>
              <w:rPr>
                <w:color w:val="000000"/>
                <w:szCs w:val="21"/>
                <w:highlight w:val="none"/>
              </w:rPr>
            </w:pPr>
          </w:p>
        </w:tc>
      </w:tr>
      <w:tr w14:paraId="75F0867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63ED8F8">
            <w:pPr>
              <w:shd w:val="clear"/>
              <w:rPr>
                <w:color w:val="000000"/>
                <w:szCs w:val="21"/>
                <w:highlight w:val="none"/>
              </w:rPr>
            </w:pPr>
          </w:p>
        </w:tc>
      </w:tr>
      <w:tr w14:paraId="35D91EA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FBCBAD6">
            <w:pPr>
              <w:shd w:val="clear"/>
              <w:rPr>
                <w:color w:val="000000"/>
                <w:szCs w:val="21"/>
                <w:highlight w:val="none"/>
              </w:rPr>
            </w:pPr>
          </w:p>
        </w:tc>
      </w:tr>
      <w:tr w14:paraId="5049B52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D9BE29C">
            <w:pPr>
              <w:shd w:val="clear"/>
              <w:rPr>
                <w:color w:val="000000"/>
                <w:szCs w:val="21"/>
                <w:highlight w:val="none"/>
              </w:rPr>
            </w:pPr>
          </w:p>
        </w:tc>
      </w:tr>
      <w:tr w14:paraId="208BA91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3FE9C7C">
            <w:pPr>
              <w:shd w:val="clear"/>
              <w:rPr>
                <w:color w:val="000000"/>
                <w:szCs w:val="21"/>
                <w:highlight w:val="none"/>
              </w:rPr>
            </w:pPr>
          </w:p>
        </w:tc>
      </w:tr>
      <w:tr w14:paraId="4D4E5C86">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398FD66">
            <w:pPr>
              <w:shd w:val="clear"/>
              <w:rPr>
                <w:color w:val="000000"/>
                <w:szCs w:val="21"/>
                <w:highlight w:val="none"/>
              </w:rPr>
            </w:pPr>
          </w:p>
        </w:tc>
      </w:tr>
      <w:tr w14:paraId="01448738">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8E01214">
            <w:pPr>
              <w:shd w:val="clear"/>
              <w:rPr>
                <w:color w:val="000000"/>
                <w:szCs w:val="21"/>
                <w:highlight w:val="none"/>
              </w:rPr>
            </w:pPr>
          </w:p>
        </w:tc>
      </w:tr>
      <w:tr w14:paraId="4F3B6F99">
        <w:tblPrEx>
          <w:tblCellMar>
            <w:top w:w="0" w:type="dxa"/>
            <w:left w:w="108" w:type="dxa"/>
            <w:bottom w:w="0" w:type="dxa"/>
            <w:right w:w="108" w:type="dxa"/>
          </w:tblCellMar>
        </w:tblPrEx>
        <w:trPr>
          <w:trHeight w:val="312" w:hRule="atLeast"/>
        </w:trPr>
        <w:tc>
          <w:tcPr>
            <w:tcW w:w="1843"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02C49883">
            <w:pPr>
              <w:shd w:val="clear"/>
              <w:jc w:val="center"/>
              <w:rPr>
                <w:color w:val="000000"/>
                <w:szCs w:val="21"/>
                <w:highlight w:val="none"/>
              </w:rPr>
            </w:pPr>
            <w:r>
              <w:rPr>
                <w:rFonts w:hint="eastAsia"/>
                <w:color w:val="000000"/>
                <w:szCs w:val="21"/>
                <w:highlight w:val="none"/>
              </w:rPr>
              <w:t>资格审查人员</w:t>
            </w:r>
          </w:p>
        </w:tc>
        <w:tc>
          <w:tcPr>
            <w:tcW w:w="7938"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61439E03">
            <w:pPr>
              <w:shd w:val="clear"/>
              <w:jc w:val="center"/>
              <w:rPr>
                <w:color w:val="000000"/>
                <w:szCs w:val="21"/>
                <w:highlight w:val="none"/>
              </w:rPr>
            </w:pPr>
            <w:r>
              <w:rPr>
                <w:rFonts w:hint="eastAsia"/>
                <w:color w:val="000000"/>
                <w:szCs w:val="21"/>
                <w:highlight w:val="none"/>
              </w:rPr>
              <w:t>　</w:t>
            </w:r>
          </w:p>
        </w:tc>
      </w:tr>
      <w:tr w14:paraId="3D666245">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119FD919">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52B4BA34">
            <w:pPr>
              <w:shd w:val="clear"/>
              <w:rPr>
                <w:color w:val="000000"/>
                <w:szCs w:val="21"/>
                <w:highlight w:val="none"/>
              </w:rPr>
            </w:pPr>
          </w:p>
        </w:tc>
      </w:tr>
      <w:tr w14:paraId="2AADD90A">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3A63D9CE">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48355E51">
            <w:pPr>
              <w:shd w:val="clear"/>
              <w:rPr>
                <w:color w:val="000000"/>
                <w:szCs w:val="21"/>
                <w:highlight w:val="none"/>
              </w:rPr>
            </w:pPr>
          </w:p>
        </w:tc>
      </w:tr>
      <w:tr w14:paraId="38396BDE">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21BC6E53">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1104C3DE">
            <w:pPr>
              <w:shd w:val="clear"/>
              <w:rPr>
                <w:color w:val="000000"/>
                <w:szCs w:val="21"/>
                <w:highlight w:val="none"/>
              </w:rPr>
            </w:pPr>
          </w:p>
        </w:tc>
      </w:tr>
      <w:tr w14:paraId="5CF33F5A">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auto" w:sz="4" w:space="0"/>
              <w:right w:val="single" w:color="000000" w:sz="8" w:space="0"/>
            </w:tcBorders>
            <w:noWrap w:val="0"/>
            <w:vAlign w:val="center"/>
          </w:tcPr>
          <w:p w14:paraId="7F686643">
            <w:pPr>
              <w:shd w:val="clear"/>
              <w:rPr>
                <w:color w:val="000000"/>
                <w:szCs w:val="21"/>
                <w:highlight w:val="none"/>
              </w:rPr>
            </w:pPr>
          </w:p>
        </w:tc>
        <w:tc>
          <w:tcPr>
            <w:tcW w:w="7938" w:type="dxa"/>
            <w:gridSpan w:val="6"/>
            <w:vMerge w:val="continue"/>
            <w:tcBorders>
              <w:top w:val="single" w:color="000000" w:sz="8" w:space="0"/>
              <w:left w:val="single" w:color="auto" w:sz="8" w:space="0"/>
              <w:bottom w:val="single" w:color="auto" w:sz="4" w:space="0"/>
              <w:right w:val="single" w:color="000000" w:sz="8" w:space="0"/>
            </w:tcBorders>
            <w:noWrap w:val="0"/>
            <w:vAlign w:val="center"/>
          </w:tcPr>
          <w:p w14:paraId="073A5449">
            <w:pPr>
              <w:shd w:val="clear"/>
              <w:rPr>
                <w:color w:val="000000"/>
                <w:szCs w:val="21"/>
                <w:highlight w:val="none"/>
              </w:rPr>
            </w:pPr>
          </w:p>
        </w:tc>
      </w:tr>
      <w:tr w14:paraId="39EA4420">
        <w:tblPrEx>
          <w:tblCellMar>
            <w:top w:w="0" w:type="dxa"/>
            <w:left w:w="108" w:type="dxa"/>
            <w:bottom w:w="0" w:type="dxa"/>
            <w:right w:w="108" w:type="dxa"/>
          </w:tblCellMar>
        </w:tblPrEx>
        <w:trPr>
          <w:trHeight w:val="558" w:hRule="atLeast"/>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7ED174E">
            <w:pPr>
              <w:shd w:val="clear"/>
              <w:jc w:val="center"/>
              <w:rPr>
                <w:color w:val="000000"/>
                <w:szCs w:val="21"/>
                <w:highlight w:val="none"/>
              </w:rPr>
            </w:pPr>
            <w:r>
              <w:rPr>
                <w:rFonts w:hint="eastAsia"/>
                <w:color w:val="000000"/>
                <w:sz w:val="22"/>
                <w:highlight w:val="none"/>
              </w:rPr>
              <w:t>工作人员</w:t>
            </w:r>
          </w:p>
        </w:tc>
        <w:tc>
          <w:tcPr>
            <w:tcW w:w="7938" w:type="dxa"/>
            <w:gridSpan w:val="6"/>
            <w:tcBorders>
              <w:top w:val="single" w:color="auto" w:sz="4" w:space="0"/>
              <w:left w:val="single" w:color="auto" w:sz="4" w:space="0"/>
              <w:bottom w:val="single" w:color="auto" w:sz="4" w:space="0"/>
              <w:right w:val="single" w:color="auto" w:sz="4" w:space="0"/>
            </w:tcBorders>
            <w:noWrap w:val="0"/>
            <w:vAlign w:val="center"/>
          </w:tcPr>
          <w:p w14:paraId="420DC549">
            <w:pPr>
              <w:shd w:val="clear"/>
              <w:rPr>
                <w:color w:val="000000"/>
                <w:szCs w:val="21"/>
                <w:highlight w:val="none"/>
              </w:rPr>
            </w:pPr>
            <w:r>
              <w:rPr>
                <w:rFonts w:hint="eastAsia"/>
                <w:color w:val="000000"/>
                <w:sz w:val="22"/>
                <w:highlight w:val="none"/>
              </w:rPr>
              <w:t>　</w:t>
            </w:r>
          </w:p>
        </w:tc>
      </w:tr>
    </w:tbl>
    <w:p w14:paraId="4BB1F94B">
      <w:pPr>
        <w:pStyle w:val="64"/>
        <w:shd w:val="clear"/>
        <w:ind w:left="0" w:firstLine="0"/>
        <w:rPr>
          <w:rFonts w:hint="eastAsia" w:cs="宋体"/>
          <w:b w:val="0"/>
          <w:bCs w:val="0"/>
          <w:sz w:val="30"/>
          <w:szCs w:val="30"/>
          <w:highlight w:val="none"/>
        </w:rPr>
      </w:pPr>
      <w:r>
        <w:rPr>
          <w:color w:val="000000"/>
          <w:szCs w:val="21"/>
          <w:highlight w:val="none"/>
        </w:rPr>
        <w:br w:type="page"/>
      </w:r>
      <w:r>
        <w:rPr>
          <w:rFonts w:hint="eastAsia" w:cs="宋体"/>
          <w:b w:val="0"/>
          <w:bCs w:val="0"/>
          <w:sz w:val="30"/>
          <w:szCs w:val="30"/>
          <w:highlight w:val="none"/>
        </w:rPr>
        <w:t>2. 评分表</w:t>
      </w:r>
    </w:p>
    <w:p w14:paraId="448F675F">
      <w:pPr>
        <w:pStyle w:val="64"/>
        <w:shd w:val="clear"/>
        <w:tabs>
          <w:tab w:val="left" w:pos="2342"/>
        </w:tabs>
        <w:jc w:val="both"/>
        <w:rPr>
          <w:highlight w:val="none"/>
        </w:rPr>
      </w:pPr>
      <w:r>
        <w:rPr>
          <w:highlight w:val="none"/>
        </w:rPr>
        <w:tab/>
      </w:r>
      <w:r>
        <w:rPr>
          <w:highlight w:val="none"/>
        </w:rPr>
        <w:tab/>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11"/>
        <w:gridCol w:w="6473"/>
      </w:tblGrid>
      <w:tr w14:paraId="3EF3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noWrap w:val="0"/>
            <w:vAlign w:val="center"/>
          </w:tcPr>
          <w:p w14:paraId="7411B2A0">
            <w:pPr>
              <w:shd w:val="clear"/>
              <w:jc w:val="center"/>
              <w:rPr>
                <w:rFonts w:cs="仿宋"/>
                <w:b/>
                <w:highlight w:val="none"/>
              </w:rPr>
            </w:pPr>
            <w:r>
              <w:rPr>
                <w:rFonts w:hint="eastAsia" w:cs="仿宋"/>
                <w:b/>
                <w:highlight w:val="none"/>
              </w:rPr>
              <w:t>项目</w:t>
            </w:r>
          </w:p>
        </w:tc>
        <w:tc>
          <w:tcPr>
            <w:tcW w:w="1711" w:type="dxa"/>
            <w:noWrap w:val="0"/>
            <w:vAlign w:val="center"/>
          </w:tcPr>
          <w:p w14:paraId="13259CCD">
            <w:pPr>
              <w:shd w:val="clear"/>
              <w:jc w:val="center"/>
              <w:rPr>
                <w:rFonts w:hint="eastAsia" w:cs="仿宋"/>
                <w:b/>
                <w:highlight w:val="none"/>
              </w:rPr>
            </w:pPr>
            <w:r>
              <w:rPr>
                <w:rFonts w:hint="eastAsia" w:cs="仿宋"/>
                <w:b/>
                <w:highlight w:val="none"/>
              </w:rPr>
              <w:t>分值</w:t>
            </w:r>
          </w:p>
        </w:tc>
        <w:tc>
          <w:tcPr>
            <w:tcW w:w="6473" w:type="dxa"/>
            <w:noWrap w:val="0"/>
            <w:vAlign w:val="center"/>
          </w:tcPr>
          <w:p w14:paraId="31D7C62F">
            <w:pPr>
              <w:shd w:val="clear"/>
              <w:spacing w:line="360" w:lineRule="auto"/>
              <w:jc w:val="center"/>
              <w:rPr>
                <w:rFonts w:cs="仿宋"/>
                <w:b/>
                <w:highlight w:val="none"/>
              </w:rPr>
            </w:pPr>
            <w:r>
              <w:rPr>
                <w:rFonts w:hint="eastAsia" w:cs="仿宋"/>
                <w:b/>
                <w:highlight w:val="none"/>
              </w:rPr>
              <w:t>评分细则</w:t>
            </w:r>
          </w:p>
        </w:tc>
      </w:tr>
      <w:tr w14:paraId="217A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1" w:type="dxa"/>
            <w:vMerge w:val="restart"/>
            <w:noWrap w:val="0"/>
            <w:vAlign w:val="center"/>
          </w:tcPr>
          <w:p w14:paraId="4A9E385F">
            <w:pPr>
              <w:shd w:val="clear"/>
              <w:jc w:val="center"/>
              <w:rPr>
                <w:rFonts w:hint="eastAsia"/>
                <w:highlight w:val="yellow"/>
                <w:lang w:val="en-US" w:eastAsia="zh-CN"/>
              </w:rPr>
            </w:pPr>
            <w:r>
              <w:rPr>
                <w:rFonts w:hint="eastAsia"/>
                <w:highlight w:val="yellow"/>
                <w:lang w:val="en-US" w:eastAsia="zh-CN"/>
              </w:rPr>
              <w:t>业绩评分</w:t>
            </w:r>
          </w:p>
          <w:p w14:paraId="626F2DE9">
            <w:pPr>
              <w:pStyle w:val="45"/>
              <w:shd w:val="clear"/>
              <w:ind w:left="0" w:leftChars="0" w:firstLine="0" w:firstLineChars="0"/>
              <w:jc w:val="center"/>
              <w:rPr>
                <w:rFonts w:hint="eastAsia"/>
                <w:highlight w:val="yellow"/>
                <w:lang w:val="en-US" w:eastAsia="zh-CN"/>
              </w:rPr>
            </w:pPr>
            <w:r>
              <w:rPr>
                <w:rFonts w:hint="eastAsia" w:cs="仿宋"/>
                <w:bCs/>
                <w:highlight w:val="yellow"/>
              </w:rPr>
              <w:t>(</w:t>
            </w:r>
            <w:r>
              <w:rPr>
                <w:rFonts w:hint="eastAsia" w:cs="仿宋"/>
                <w:bCs/>
                <w:highlight w:val="yellow"/>
                <w:lang w:val="en-US" w:eastAsia="zh-CN"/>
              </w:rPr>
              <w:t>15</w:t>
            </w:r>
            <w:r>
              <w:rPr>
                <w:rFonts w:hint="eastAsia" w:cs="仿宋"/>
                <w:bCs/>
                <w:highlight w:val="yellow"/>
              </w:rPr>
              <w:t>分)</w:t>
            </w:r>
          </w:p>
        </w:tc>
        <w:tc>
          <w:tcPr>
            <w:tcW w:w="1711" w:type="dxa"/>
            <w:noWrap w:val="0"/>
            <w:vAlign w:val="center"/>
          </w:tcPr>
          <w:p w14:paraId="31C7C85C">
            <w:pPr>
              <w:shd w:val="clear"/>
              <w:jc w:val="center"/>
              <w:rPr>
                <w:rFonts w:hint="eastAsia" w:eastAsia="宋体" w:cs="仿宋"/>
                <w:bCs/>
                <w:highlight w:val="yellow"/>
                <w:lang w:val="en-US" w:eastAsia="zh-CN"/>
              </w:rPr>
            </w:pPr>
            <w:r>
              <w:rPr>
                <w:rFonts w:hint="eastAsia" w:cs="仿宋"/>
                <w:bCs/>
                <w:highlight w:val="yellow"/>
                <w:lang w:val="en-US" w:eastAsia="zh-CN"/>
              </w:rPr>
              <w:t>资质（5分）</w:t>
            </w:r>
          </w:p>
        </w:tc>
        <w:tc>
          <w:tcPr>
            <w:tcW w:w="6473" w:type="dxa"/>
            <w:noWrap w:val="0"/>
            <w:vAlign w:val="center"/>
          </w:tcPr>
          <w:p w14:paraId="5B4EC721">
            <w:pPr>
              <w:shd w:val="clear"/>
              <w:rPr>
                <w:rFonts w:hint="eastAsia"/>
                <w:sz w:val="24"/>
                <w:szCs w:val="24"/>
                <w:highlight w:val="yellow"/>
              </w:rPr>
            </w:pPr>
            <w:r>
              <w:rPr>
                <w:rFonts w:hint="eastAsia"/>
                <w:sz w:val="24"/>
                <w:szCs w:val="24"/>
                <w:highlight w:val="yellow"/>
                <w:lang w:val="en-US" w:eastAsia="zh-CN"/>
              </w:rPr>
              <w:t>提供</w:t>
            </w:r>
            <w:r>
              <w:rPr>
                <w:rFonts w:hint="eastAsia"/>
                <w:sz w:val="24"/>
                <w:szCs w:val="24"/>
                <w:highlight w:val="yellow"/>
              </w:rPr>
              <w:t xml:space="preserve"> Oracle OCM (Oracle Certified Master)顶级认</w:t>
            </w:r>
            <w:r>
              <w:rPr>
                <w:rFonts w:hint="eastAsia"/>
                <w:sz w:val="24"/>
                <w:szCs w:val="24"/>
                <w:highlight w:val="yellow"/>
                <w:lang w:val="en-US" w:eastAsia="zh-CN"/>
              </w:rPr>
              <w:t>证书</w:t>
            </w:r>
            <w:r>
              <w:rPr>
                <w:rFonts w:hint="eastAsia"/>
                <w:sz w:val="24"/>
                <w:szCs w:val="24"/>
                <w:highlight w:val="yellow"/>
                <w:lang w:eastAsia="zh-CN"/>
              </w:rPr>
              <w:t>）</w:t>
            </w:r>
            <w:r>
              <w:rPr>
                <w:rFonts w:hint="eastAsia"/>
                <w:sz w:val="24"/>
                <w:szCs w:val="24"/>
                <w:highlight w:val="yellow"/>
              </w:rPr>
              <w:t>，</w:t>
            </w:r>
          </w:p>
          <w:p w14:paraId="51ACDA8F">
            <w:pPr>
              <w:shd w:val="clear"/>
              <w:rPr>
                <w:rFonts w:hint="eastAsia"/>
                <w:sz w:val="24"/>
                <w:szCs w:val="24"/>
                <w:highlight w:val="yellow"/>
                <w:lang w:val="en-US" w:eastAsia="zh-CN"/>
              </w:rPr>
            </w:pPr>
            <w:r>
              <w:rPr>
                <w:rFonts w:hint="eastAsia"/>
                <w:sz w:val="24"/>
                <w:szCs w:val="24"/>
                <w:highlight w:val="yellow"/>
                <w:lang w:val="en-US" w:eastAsia="zh-CN"/>
              </w:rPr>
              <w:t>5</w:t>
            </w:r>
            <w:r>
              <w:rPr>
                <w:rFonts w:hint="eastAsia"/>
                <w:sz w:val="24"/>
                <w:szCs w:val="24"/>
                <w:highlight w:val="yellow"/>
              </w:rPr>
              <w:t>年</w:t>
            </w:r>
            <w:r>
              <w:rPr>
                <w:rFonts w:hint="eastAsia"/>
                <w:sz w:val="24"/>
                <w:szCs w:val="24"/>
                <w:highlight w:val="yellow"/>
                <w:lang w:val="en-US" w:eastAsia="zh-CN"/>
              </w:rPr>
              <w:t>及</w:t>
            </w:r>
            <w:r>
              <w:rPr>
                <w:rFonts w:hint="eastAsia"/>
                <w:sz w:val="24"/>
                <w:szCs w:val="24"/>
                <w:highlight w:val="yellow"/>
              </w:rPr>
              <w:t>以上Oracle数据库运维经验</w:t>
            </w:r>
            <w:r>
              <w:rPr>
                <w:rFonts w:hint="eastAsia"/>
                <w:sz w:val="24"/>
                <w:szCs w:val="24"/>
                <w:highlight w:val="yellow"/>
                <w:lang w:val="en-US" w:eastAsia="zh-CN"/>
              </w:rPr>
              <w:t>得5分；</w:t>
            </w:r>
          </w:p>
          <w:p w14:paraId="2C2340F2">
            <w:pPr>
              <w:shd w:val="clear"/>
              <w:rPr>
                <w:rFonts w:hint="eastAsia"/>
                <w:sz w:val="24"/>
                <w:szCs w:val="24"/>
                <w:highlight w:val="yellow"/>
                <w:lang w:val="en-US" w:eastAsia="zh-CN"/>
              </w:rPr>
            </w:pPr>
            <w:r>
              <w:rPr>
                <w:rFonts w:hint="eastAsia"/>
                <w:sz w:val="24"/>
                <w:szCs w:val="24"/>
                <w:highlight w:val="yellow"/>
                <w:lang w:val="en-US" w:eastAsia="zh-CN"/>
              </w:rPr>
              <w:t>3-4年</w:t>
            </w:r>
            <w:r>
              <w:rPr>
                <w:rFonts w:hint="eastAsia"/>
                <w:sz w:val="24"/>
                <w:szCs w:val="24"/>
                <w:highlight w:val="yellow"/>
              </w:rPr>
              <w:t>Oracle数据库运维经验</w:t>
            </w:r>
            <w:r>
              <w:rPr>
                <w:rFonts w:hint="eastAsia"/>
                <w:sz w:val="24"/>
                <w:szCs w:val="24"/>
                <w:highlight w:val="yellow"/>
                <w:lang w:val="en-US" w:eastAsia="zh-CN"/>
              </w:rPr>
              <w:t>得3分；</w:t>
            </w:r>
          </w:p>
          <w:p w14:paraId="74B40962">
            <w:pPr>
              <w:shd w:val="clear"/>
              <w:rPr>
                <w:rFonts w:hint="eastAsia"/>
                <w:sz w:val="24"/>
                <w:szCs w:val="24"/>
                <w:highlight w:val="yellow"/>
                <w:lang w:val="en-US" w:eastAsia="zh-CN"/>
              </w:rPr>
            </w:pPr>
            <w:r>
              <w:rPr>
                <w:rFonts w:hint="eastAsia"/>
                <w:sz w:val="24"/>
                <w:szCs w:val="24"/>
                <w:highlight w:val="yellow"/>
                <w:lang w:val="en-US" w:eastAsia="zh-CN"/>
              </w:rPr>
              <w:t>1-2年</w:t>
            </w:r>
            <w:r>
              <w:rPr>
                <w:rFonts w:hint="eastAsia"/>
                <w:sz w:val="24"/>
                <w:szCs w:val="24"/>
                <w:highlight w:val="yellow"/>
              </w:rPr>
              <w:t>Oracle数据库运维经验</w:t>
            </w:r>
            <w:r>
              <w:rPr>
                <w:rFonts w:hint="eastAsia"/>
                <w:sz w:val="24"/>
                <w:szCs w:val="24"/>
                <w:highlight w:val="yellow"/>
                <w:lang w:val="en-US" w:eastAsia="zh-CN"/>
              </w:rPr>
              <w:t>得1分；</w:t>
            </w:r>
          </w:p>
          <w:p w14:paraId="7F99403A">
            <w:pPr>
              <w:shd w:val="clear"/>
              <w:rPr>
                <w:rFonts w:hint="eastAsia" w:eastAsia="宋体" w:cs="仿宋"/>
                <w:bCs/>
                <w:highlight w:val="yellow"/>
                <w:lang w:val="en-US" w:eastAsia="zh-CN"/>
              </w:rPr>
            </w:pPr>
            <w:r>
              <w:rPr>
                <w:rFonts w:hint="eastAsia"/>
                <w:sz w:val="24"/>
                <w:szCs w:val="24"/>
                <w:highlight w:val="yellow"/>
                <w:lang w:val="en-US" w:eastAsia="zh-CN"/>
              </w:rPr>
              <w:t>不提供的得0分</w:t>
            </w:r>
            <w:r>
              <w:rPr>
                <w:rFonts w:hint="eastAsia"/>
                <w:sz w:val="24"/>
                <w:szCs w:val="24"/>
                <w:highlight w:val="yellow"/>
                <w:lang w:eastAsia="zh-CN"/>
              </w:rPr>
              <w:t>。</w:t>
            </w:r>
          </w:p>
        </w:tc>
      </w:tr>
      <w:tr w14:paraId="4BA5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noWrap w:val="0"/>
            <w:vAlign w:val="center"/>
          </w:tcPr>
          <w:p w14:paraId="67B2EB17">
            <w:pPr>
              <w:shd w:val="clear"/>
              <w:jc w:val="center"/>
              <w:rPr>
                <w:highlight w:val="yellow"/>
              </w:rPr>
            </w:pPr>
          </w:p>
        </w:tc>
        <w:tc>
          <w:tcPr>
            <w:tcW w:w="1711" w:type="dxa"/>
            <w:noWrap w:val="0"/>
            <w:vAlign w:val="center"/>
          </w:tcPr>
          <w:p w14:paraId="339B485E">
            <w:pPr>
              <w:shd w:val="clear"/>
              <w:jc w:val="center"/>
              <w:rPr>
                <w:rFonts w:hint="eastAsia" w:cs="仿宋"/>
                <w:bCs/>
                <w:highlight w:val="yellow"/>
              </w:rPr>
            </w:pPr>
            <w:r>
              <w:rPr>
                <w:rFonts w:hint="eastAsia" w:cs="仿宋"/>
                <w:bCs/>
                <w:highlight w:val="yellow"/>
              </w:rPr>
              <w:t>业绩</w:t>
            </w:r>
            <w:r>
              <w:rPr>
                <w:rFonts w:hint="eastAsia" w:cs="仿宋"/>
                <w:bCs/>
                <w:highlight w:val="yellow"/>
                <w:lang w:val="en-US" w:eastAsia="zh-CN"/>
              </w:rPr>
              <w:t>（5分）</w:t>
            </w:r>
          </w:p>
        </w:tc>
        <w:tc>
          <w:tcPr>
            <w:tcW w:w="6473" w:type="dxa"/>
            <w:noWrap w:val="0"/>
            <w:vAlign w:val="center"/>
          </w:tcPr>
          <w:p w14:paraId="6162A37D">
            <w:pPr>
              <w:shd w:val="clear"/>
              <w:jc w:val="left"/>
              <w:rPr>
                <w:rFonts w:hint="default" w:cs="仿宋"/>
                <w:bCs/>
                <w:highlight w:val="yellow"/>
                <w:lang w:val="en-US"/>
              </w:rPr>
            </w:pPr>
            <w:r>
              <w:rPr>
                <w:rFonts w:hint="eastAsia" w:cs="仿宋"/>
                <w:bCs/>
                <w:highlight w:val="yellow"/>
                <w:lang w:val="en-US" w:eastAsia="zh-CN"/>
              </w:rPr>
              <w:t>每提供一份计量系统同类业绩得1分，最高5分。</w:t>
            </w:r>
          </w:p>
        </w:tc>
      </w:tr>
      <w:tr w14:paraId="6484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71" w:type="dxa"/>
            <w:noWrap w:val="0"/>
            <w:vAlign w:val="center"/>
          </w:tcPr>
          <w:p w14:paraId="6489E577">
            <w:pPr>
              <w:shd w:val="clear"/>
              <w:jc w:val="center"/>
              <w:rPr>
                <w:rFonts w:hint="eastAsia" w:cs="仿宋"/>
                <w:bCs/>
                <w:highlight w:val="yellow"/>
              </w:rPr>
            </w:pPr>
            <w:r>
              <w:rPr>
                <w:rFonts w:hint="eastAsia" w:cs="仿宋"/>
                <w:bCs/>
                <w:highlight w:val="yellow"/>
                <w:lang w:val="en-US" w:eastAsia="zh-CN"/>
              </w:rPr>
              <w:t>综合</w:t>
            </w:r>
            <w:r>
              <w:rPr>
                <w:rFonts w:hint="eastAsia" w:cs="仿宋"/>
                <w:bCs/>
                <w:highlight w:val="yellow"/>
              </w:rPr>
              <w:t>评分</w:t>
            </w:r>
          </w:p>
          <w:p w14:paraId="1D071FE6">
            <w:pPr>
              <w:shd w:val="clear"/>
              <w:ind w:left="-136" w:leftChars="-57" w:right="-204" w:rightChars="-85"/>
              <w:jc w:val="center"/>
              <w:rPr>
                <w:rFonts w:cs="仿宋"/>
                <w:bCs/>
                <w:highlight w:val="yellow"/>
              </w:rPr>
            </w:pPr>
            <w:r>
              <w:rPr>
                <w:rFonts w:hint="eastAsia" w:cs="仿宋"/>
                <w:bCs/>
                <w:highlight w:val="yellow"/>
              </w:rPr>
              <w:t>(</w:t>
            </w:r>
            <w:r>
              <w:rPr>
                <w:rFonts w:hint="eastAsia" w:cs="仿宋"/>
                <w:bCs/>
                <w:highlight w:val="yellow"/>
                <w:lang w:val="en-US" w:eastAsia="zh-CN"/>
              </w:rPr>
              <w:t>20</w:t>
            </w:r>
            <w:r>
              <w:rPr>
                <w:rFonts w:hint="eastAsia" w:cs="仿宋"/>
                <w:bCs/>
                <w:highlight w:val="yellow"/>
              </w:rPr>
              <w:t>分)</w:t>
            </w:r>
          </w:p>
        </w:tc>
        <w:tc>
          <w:tcPr>
            <w:tcW w:w="1711" w:type="dxa"/>
            <w:noWrap w:val="0"/>
            <w:vAlign w:val="center"/>
          </w:tcPr>
          <w:p w14:paraId="752EFB3F">
            <w:pPr>
              <w:shd w:val="clear"/>
              <w:jc w:val="center"/>
              <w:rPr>
                <w:rFonts w:hint="default" w:eastAsia="宋体" w:cs="仿宋"/>
                <w:bCs/>
                <w:highlight w:val="yellow"/>
                <w:lang w:val="en-US" w:eastAsia="zh-CN"/>
              </w:rPr>
            </w:pPr>
            <w:r>
              <w:rPr>
                <w:rFonts w:hint="eastAsia" w:cs="仿宋"/>
                <w:bCs/>
                <w:highlight w:val="yellow"/>
                <w:lang w:val="en-US" w:eastAsia="zh-CN"/>
              </w:rPr>
              <w:t>综合评分20分</w:t>
            </w:r>
          </w:p>
        </w:tc>
        <w:tc>
          <w:tcPr>
            <w:tcW w:w="6473" w:type="dxa"/>
            <w:noWrap w:val="0"/>
            <w:vAlign w:val="center"/>
          </w:tcPr>
          <w:p w14:paraId="6E4FEF67">
            <w:pPr>
              <w:shd w:val="clear"/>
              <w:rPr>
                <w:rFonts w:hint="default" w:cs="仿宋"/>
                <w:bCs/>
                <w:highlight w:val="yellow"/>
                <w:lang w:val="en-US" w:eastAsia="zh-CN"/>
              </w:rPr>
            </w:pPr>
            <w:r>
              <w:rPr>
                <w:rFonts w:hint="eastAsia" w:cs="仿宋"/>
                <w:bCs/>
                <w:highlight w:val="yellow"/>
                <w:lang w:val="en-US" w:eastAsia="zh-CN"/>
              </w:rPr>
              <w:t>评委根据投标方提供的技术方案、响应程度、质保、售后服务等综合打分，最高20分。</w:t>
            </w:r>
          </w:p>
        </w:tc>
      </w:tr>
      <w:tr w14:paraId="6D7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271" w:type="dxa"/>
            <w:noWrap w:val="0"/>
            <w:vAlign w:val="center"/>
          </w:tcPr>
          <w:p w14:paraId="062BFD30">
            <w:pPr>
              <w:shd w:val="clear"/>
              <w:jc w:val="center"/>
              <w:rPr>
                <w:rFonts w:hint="eastAsia" w:eastAsia="宋体"/>
                <w:highlight w:val="none"/>
                <w:lang w:val="en-US" w:eastAsia="zh-CN"/>
              </w:rPr>
            </w:pPr>
            <w:r>
              <w:rPr>
                <w:rFonts w:hint="eastAsia"/>
                <w:highlight w:val="none"/>
              </w:rPr>
              <w:t>投标报价</w:t>
            </w:r>
            <w:r>
              <w:rPr>
                <w:rFonts w:hint="eastAsia"/>
                <w:highlight w:val="none"/>
                <w:lang w:val="en-US" w:eastAsia="zh-CN"/>
              </w:rPr>
              <w:t>评分</w:t>
            </w:r>
          </w:p>
          <w:p w14:paraId="1F4CDF00">
            <w:pPr>
              <w:pStyle w:val="45"/>
              <w:shd w:val="clear"/>
              <w:ind w:left="0" w:leftChars="0" w:firstLine="0" w:firstLineChars="0"/>
              <w:rPr>
                <w:rFonts w:hint="eastAsia" w:eastAsia="宋体"/>
                <w:highlight w:val="none"/>
                <w:lang w:eastAsia="zh-CN"/>
              </w:rPr>
            </w:pPr>
            <w:r>
              <w:rPr>
                <w:rFonts w:hint="eastAsia" w:cs="仿宋"/>
                <w:bCs/>
                <w:highlight w:val="none"/>
                <w:lang w:eastAsia="zh-CN"/>
              </w:rPr>
              <w:t>（</w:t>
            </w:r>
            <w:r>
              <w:rPr>
                <w:rFonts w:hint="eastAsia" w:cs="仿宋"/>
                <w:bCs/>
                <w:highlight w:val="none"/>
                <w:lang w:val="en-US" w:eastAsia="zh-CN"/>
              </w:rPr>
              <w:t>70分</w:t>
            </w:r>
            <w:r>
              <w:rPr>
                <w:rFonts w:hint="eastAsia" w:cs="仿宋"/>
                <w:bCs/>
                <w:highlight w:val="none"/>
                <w:lang w:eastAsia="zh-CN"/>
              </w:rPr>
              <w:t>）</w:t>
            </w:r>
          </w:p>
        </w:tc>
        <w:tc>
          <w:tcPr>
            <w:tcW w:w="1711" w:type="dxa"/>
            <w:noWrap w:val="0"/>
            <w:vAlign w:val="center"/>
          </w:tcPr>
          <w:p w14:paraId="1A9172AE">
            <w:pPr>
              <w:shd w:val="clear"/>
              <w:spacing w:line="360" w:lineRule="auto"/>
              <w:jc w:val="center"/>
              <w:rPr>
                <w:rFonts w:cs="仿宋"/>
                <w:bCs/>
                <w:highlight w:val="none"/>
              </w:rPr>
            </w:pPr>
            <w:r>
              <w:rPr>
                <w:rFonts w:hint="eastAsia" w:cs="仿宋"/>
                <w:bCs/>
                <w:highlight w:val="none"/>
                <w:lang w:val="en-US" w:eastAsia="zh-CN"/>
              </w:rPr>
              <w:t>70</w:t>
            </w:r>
            <w:r>
              <w:rPr>
                <w:rFonts w:hint="eastAsia" w:cs="仿宋"/>
                <w:bCs/>
                <w:highlight w:val="none"/>
              </w:rPr>
              <w:t>分</w:t>
            </w:r>
          </w:p>
        </w:tc>
        <w:tc>
          <w:tcPr>
            <w:tcW w:w="6473" w:type="dxa"/>
            <w:noWrap w:val="0"/>
            <w:vAlign w:val="center"/>
          </w:tcPr>
          <w:p w14:paraId="641249DD">
            <w:pPr>
              <w:shd w:val="clear"/>
              <w:tabs>
                <w:tab w:val="right" w:pos="8306"/>
              </w:tabs>
              <w:spacing w:line="400" w:lineRule="exact"/>
              <w:rPr>
                <w:rFonts w:cs="仿宋"/>
                <w:bCs/>
                <w:highlight w:val="none"/>
              </w:rPr>
            </w:pPr>
            <w:r>
              <w:rPr>
                <w:rFonts w:hint="eastAsia" w:cs="仿宋"/>
                <w:bCs/>
                <w:highlight w:val="none"/>
              </w:rPr>
              <w:t>1.评标基准价</w:t>
            </w:r>
            <w:r>
              <w:rPr>
                <w:rFonts w:hint="eastAsia" w:cs="仿宋"/>
                <w:bCs/>
                <w:highlight w:val="none"/>
                <w:lang w:val="en-US" w:eastAsia="zh-CN"/>
              </w:rPr>
              <w:t>为</w:t>
            </w:r>
            <w:r>
              <w:rPr>
                <w:rFonts w:hint="eastAsia" w:cs="仿宋"/>
                <w:bCs/>
                <w:highlight w:val="none"/>
              </w:rPr>
              <w:t>有效投标人的最低报价值。</w:t>
            </w:r>
          </w:p>
          <w:p w14:paraId="18DC7C4C">
            <w:pPr>
              <w:shd w:val="clear"/>
              <w:tabs>
                <w:tab w:val="right" w:pos="8306"/>
              </w:tabs>
              <w:spacing w:line="400" w:lineRule="exact"/>
              <w:rPr>
                <w:rFonts w:hint="eastAsia" w:cs="仿宋"/>
                <w:bCs/>
                <w:highlight w:val="none"/>
              </w:rPr>
            </w:pPr>
            <w:r>
              <w:rPr>
                <w:rFonts w:hint="eastAsia" w:cs="仿宋"/>
                <w:bCs/>
                <w:highlight w:val="none"/>
              </w:rPr>
              <w:t>2.投标报价分值=评标基准价/投标报价*</w:t>
            </w:r>
            <w:r>
              <w:rPr>
                <w:rFonts w:hint="eastAsia" w:cs="仿宋"/>
                <w:bCs/>
                <w:highlight w:val="none"/>
                <w:lang w:val="en-US" w:eastAsia="zh-CN"/>
              </w:rPr>
              <w:t>70</w:t>
            </w:r>
            <w:r>
              <w:rPr>
                <w:rFonts w:hint="eastAsia" w:cs="仿宋"/>
                <w:bCs/>
                <w:highlight w:val="none"/>
              </w:rPr>
              <w:t>（最高</w:t>
            </w:r>
            <w:r>
              <w:rPr>
                <w:rFonts w:hint="eastAsia" w:cs="仿宋"/>
                <w:bCs/>
                <w:highlight w:val="none"/>
                <w:lang w:val="en-US" w:eastAsia="zh-CN"/>
              </w:rPr>
              <w:t>70</w:t>
            </w:r>
            <w:r>
              <w:rPr>
                <w:rFonts w:hint="eastAsia" w:cs="仿宋"/>
                <w:bCs/>
                <w:highlight w:val="none"/>
              </w:rPr>
              <w:t>分）</w:t>
            </w:r>
          </w:p>
          <w:p w14:paraId="46581A6E">
            <w:pPr>
              <w:pStyle w:val="73"/>
              <w:shd w:val="clear"/>
              <w:ind w:firstLine="0" w:firstLineChars="0"/>
              <w:rPr>
                <w:rFonts w:ascii="宋体" w:hAnsi="宋体" w:cs="仿宋"/>
                <w:bCs/>
                <w:kern w:val="0"/>
                <w:sz w:val="24"/>
                <w:highlight w:val="none"/>
              </w:rPr>
            </w:pPr>
            <w:r>
              <w:rPr>
                <w:rFonts w:hint="eastAsia" w:ascii="宋体" w:hAnsi="宋体" w:cs="仿宋"/>
                <w:bCs/>
                <w:kern w:val="0"/>
                <w:sz w:val="24"/>
                <w:highlight w:val="none"/>
              </w:rPr>
              <w:t>3.投标报价分值高于</w:t>
            </w:r>
            <w:r>
              <w:rPr>
                <w:rFonts w:hint="eastAsia" w:ascii="宋体" w:hAnsi="宋体" w:cs="仿宋"/>
                <w:bCs/>
                <w:kern w:val="0"/>
                <w:sz w:val="24"/>
                <w:highlight w:val="none"/>
                <w:lang w:val="en-US" w:eastAsia="zh-CN"/>
              </w:rPr>
              <w:t>70</w:t>
            </w:r>
            <w:r>
              <w:rPr>
                <w:rFonts w:hint="eastAsia" w:ascii="宋体" w:hAnsi="宋体" w:cs="仿宋"/>
                <w:bCs/>
                <w:kern w:val="0"/>
                <w:sz w:val="24"/>
                <w:highlight w:val="none"/>
              </w:rPr>
              <w:t>分按照</w:t>
            </w:r>
            <w:r>
              <w:rPr>
                <w:rFonts w:hint="eastAsia" w:ascii="宋体" w:hAnsi="宋体" w:cs="仿宋"/>
                <w:bCs/>
                <w:kern w:val="0"/>
                <w:sz w:val="24"/>
                <w:highlight w:val="none"/>
                <w:lang w:val="en-US" w:eastAsia="zh-CN"/>
              </w:rPr>
              <w:t>70</w:t>
            </w:r>
            <w:r>
              <w:rPr>
                <w:rFonts w:hint="eastAsia" w:ascii="宋体" w:hAnsi="宋体" w:cs="仿宋"/>
                <w:bCs/>
                <w:kern w:val="0"/>
                <w:sz w:val="24"/>
                <w:highlight w:val="none"/>
              </w:rPr>
              <w:t>分计算。</w:t>
            </w:r>
          </w:p>
        </w:tc>
      </w:tr>
    </w:tbl>
    <w:p w14:paraId="6DFBA2CF">
      <w:pPr>
        <w:pStyle w:val="57"/>
        <w:widowControl/>
        <w:shd w:val="clear"/>
        <w:spacing w:beforeLines="0" w:line="300" w:lineRule="auto"/>
        <w:ind w:left="1233" w:leftChars="514" w:firstLine="660" w:firstLineChars="150"/>
        <w:jc w:val="both"/>
        <w:rPr>
          <w:color w:val="000000"/>
          <w:kern w:val="0"/>
          <w:szCs w:val="21"/>
          <w:highlight w:val="none"/>
        </w:rPr>
      </w:pPr>
    </w:p>
    <w:p w14:paraId="319D0C0C">
      <w:pPr>
        <w:shd w:val="clear"/>
        <w:spacing w:before="156" w:beforeLines="50" w:after="156" w:afterLines="50" w:line="480" w:lineRule="exact"/>
        <w:jc w:val="center"/>
        <w:rPr>
          <w:rFonts w:ascii="宋体" w:hAnsi="宋体"/>
          <w:color w:val="000000"/>
          <w:sz w:val="28"/>
          <w:szCs w:val="28"/>
          <w:highlight w:val="none"/>
        </w:rPr>
      </w:pPr>
      <w:r>
        <w:rPr>
          <w:rFonts w:hint="eastAsia" w:ascii="宋体" w:hAnsi="宋体"/>
          <w:color w:val="000000"/>
          <w:sz w:val="28"/>
          <w:szCs w:val="28"/>
          <w:highlight w:val="none"/>
        </w:rPr>
        <w:t>废 标 条 件</w:t>
      </w:r>
    </w:p>
    <w:p w14:paraId="3DEF8FBB">
      <w:pPr>
        <w:shd w:val="clear"/>
        <w:spacing w:before="156" w:beforeLines="50" w:after="156" w:afterLines="50" w:line="480" w:lineRule="exact"/>
        <w:jc w:val="left"/>
        <w:rPr>
          <w:rFonts w:ascii="宋体" w:hAnsi="宋体"/>
          <w:color w:val="000000"/>
          <w:szCs w:val="21"/>
          <w:highlight w:val="none"/>
        </w:rPr>
      </w:pPr>
      <w:r>
        <w:rPr>
          <w:rFonts w:hint="eastAsia" w:ascii="宋体" w:hAnsi="宋体"/>
          <w:color w:val="000000"/>
          <w:szCs w:val="21"/>
          <w:highlight w:val="none"/>
        </w:rPr>
        <w:t>B0.总则</w:t>
      </w:r>
    </w:p>
    <w:p w14:paraId="4D17F943">
      <w:pPr>
        <w:shd w:val="clear"/>
        <w:spacing w:before="156" w:beforeLines="50" w:after="156" w:afterLines="50" w:line="480" w:lineRule="exact"/>
        <w:ind w:firstLine="480" w:firstLineChars="200"/>
        <w:jc w:val="left"/>
        <w:rPr>
          <w:rFonts w:ascii="宋体" w:hAnsi="宋体"/>
          <w:color w:val="000000"/>
          <w:szCs w:val="21"/>
          <w:highlight w:val="none"/>
        </w:rPr>
      </w:pPr>
      <w:r>
        <w:rPr>
          <w:rFonts w:hint="eastAsia" w:ascii="宋体" w:hAnsi="宋体"/>
          <w:color w:val="000000"/>
          <w:szCs w:val="21"/>
          <w:highlight w:val="none"/>
        </w:rPr>
        <w:t>本附件所集中列示的废标条件，是本章“评标办法”的组成部分，是对第二章“投标人须知”和本章正文部分所规定的废标条件的总结和补充。</w:t>
      </w:r>
    </w:p>
    <w:p w14:paraId="690C785F">
      <w:pPr>
        <w:shd w:val="clear"/>
        <w:spacing w:line="480" w:lineRule="exact"/>
        <w:jc w:val="left"/>
        <w:rPr>
          <w:rFonts w:ascii="宋体" w:hAnsi="宋体"/>
          <w:color w:val="000000"/>
          <w:szCs w:val="21"/>
          <w:highlight w:val="none"/>
        </w:rPr>
      </w:pPr>
      <w:r>
        <w:rPr>
          <w:rFonts w:hint="eastAsia" w:ascii="宋体" w:hAnsi="宋体"/>
          <w:color w:val="000000"/>
          <w:szCs w:val="21"/>
          <w:highlight w:val="none"/>
        </w:rPr>
        <w:t xml:space="preserve">B1.废标条件 </w:t>
      </w:r>
    </w:p>
    <w:p w14:paraId="1E813AD0">
      <w:pPr>
        <w:shd w:val="clear"/>
        <w:spacing w:line="480" w:lineRule="exact"/>
        <w:jc w:val="left"/>
        <w:rPr>
          <w:rFonts w:ascii="宋体" w:hAnsi="宋体"/>
          <w:color w:val="000000"/>
          <w:szCs w:val="21"/>
          <w:highlight w:val="none"/>
        </w:rPr>
      </w:pPr>
      <w:r>
        <w:rPr>
          <w:rFonts w:hint="eastAsia" w:ascii="宋体" w:hAnsi="宋体"/>
          <w:color w:val="000000"/>
          <w:szCs w:val="21"/>
          <w:highlight w:val="none"/>
        </w:rPr>
        <w:t xml:space="preserve">    投标人或其投标文件有下列情形之一的，其投标作废标处理：</w:t>
      </w:r>
    </w:p>
    <w:p w14:paraId="72FA7BE8">
      <w:pPr>
        <w:shd w:val="clear"/>
        <w:spacing w:line="480" w:lineRule="exact"/>
        <w:ind w:firstLine="480" w:firstLineChars="200"/>
        <w:jc w:val="left"/>
        <w:rPr>
          <w:rFonts w:ascii="宋体" w:hAnsi="宋体"/>
          <w:color w:val="000000"/>
          <w:szCs w:val="21"/>
          <w:highlight w:val="none"/>
        </w:rPr>
      </w:pPr>
      <w:r>
        <w:rPr>
          <w:rFonts w:hint="eastAsia" w:ascii="宋体" w:hAnsi="宋体"/>
          <w:color w:val="000000"/>
          <w:szCs w:val="21"/>
          <w:highlight w:val="none"/>
        </w:rPr>
        <w:t>B1.1有第二章“投标人须知”第1.4.3项规定的任何一种情形的。</w:t>
      </w:r>
    </w:p>
    <w:p w14:paraId="61ADB921">
      <w:pPr>
        <w:shd w:val="clear"/>
        <w:spacing w:line="480" w:lineRule="exact"/>
        <w:ind w:firstLine="480" w:firstLineChars="200"/>
        <w:jc w:val="left"/>
        <w:rPr>
          <w:rFonts w:ascii="宋体" w:hAnsi="宋体"/>
          <w:color w:val="000000"/>
          <w:szCs w:val="21"/>
          <w:highlight w:val="none"/>
        </w:rPr>
      </w:pPr>
      <w:r>
        <w:rPr>
          <w:rFonts w:hint="eastAsia" w:ascii="宋体" w:hAnsi="宋体"/>
          <w:color w:val="000000"/>
          <w:szCs w:val="21"/>
          <w:highlight w:val="none"/>
        </w:rPr>
        <w:t>B1.2 有串通投标或弄虚作假或其他违法行为的，详见下款：</w:t>
      </w:r>
    </w:p>
    <w:p w14:paraId="49DCA468">
      <w:pPr>
        <w:shd w:val="clear"/>
        <w:spacing w:line="480" w:lineRule="exact"/>
        <w:ind w:firstLine="48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B1.2.1投标人之间协商投标报价等投标文件的实质性内容；</w:t>
      </w:r>
    </w:p>
    <w:p w14:paraId="6EB98BF9">
      <w:pPr>
        <w:shd w:val="clear"/>
        <w:spacing w:line="480" w:lineRule="exact"/>
        <w:ind w:firstLine="480" w:firstLineChars="200"/>
        <w:jc w:val="left"/>
        <w:rPr>
          <w:rFonts w:ascii="宋体" w:hAnsi="宋体"/>
          <w:bCs/>
          <w:color w:val="000000"/>
          <w:kern w:val="0"/>
          <w:szCs w:val="21"/>
          <w:highlight w:val="none"/>
        </w:rPr>
      </w:pPr>
      <w:r>
        <w:rPr>
          <w:rFonts w:hint="eastAsia" w:ascii="宋体" w:hAnsi="宋体"/>
          <w:bCs/>
          <w:color w:val="000000"/>
          <w:kern w:val="0"/>
          <w:szCs w:val="21"/>
          <w:highlight w:val="none"/>
        </w:rPr>
        <w:t>B1.2.2投标人之间约定中标人；</w:t>
      </w:r>
    </w:p>
    <w:p w14:paraId="66EE0A5B">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B1.2.3投标人之间约定部分投标人放弃投标或者中标；</w:t>
      </w:r>
    </w:p>
    <w:p w14:paraId="14AE8A9E">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B1.2.5投标人之间为谋取中标或者排斥特定投标人而采取的其他联合行动；</w:t>
      </w:r>
    </w:p>
    <w:p w14:paraId="15465968">
      <w:pPr>
        <w:shd w:val="clear"/>
        <w:autoSpaceDE w:val="0"/>
        <w:autoSpaceDN w:val="0"/>
        <w:spacing w:line="500" w:lineRule="exact"/>
        <w:ind w:firstLine="484" w:firstLineChars="202"/>
        <w:jc w:val="left"/>
        <w:rPr>
          <w:rFonts w:ascii="宋体" w:hAnsi="宋体"/>
          <w:bCs/>
          <w:color w:val="000000"/>
          <w:kern w:val="0"/>
          <w:szCs w:val="21"/>
          <w:highlight w:val="none"/>
        </w:rPr>
      </w:pPr>
      <w:r>
        <w:rPr>
          <w:rFonts w:hint="eastAsia" w:ascii="宋体" w:hAnsi="宋体"/>
          <w:bCs/>
          <w:color w:val="000000"/>
          <w:kern w:val="0"/>
          <w:szCs w:val="21"/>
          <w:highlight w:val="none"/>
        </w:rPr>
        <w:t>B1.2.6不同投标人的投标文件由同一单位或者个人编制；</w:t>
      </w:r>
    </w:p>
    <w:p w14:paraId="759B968A">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B1.2.7不同投标人委托同一单位或者个人办理投标事宜；</w:t>
      </w:r>
    </w:p>
    <w:p w14:paraId="6B8E7B0F">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B1.2.8不同投标人的投标文件载明的项目管理成员为同一人；</w:t>
      </w:r>
    </w:p>
    <w:p w14:paraId="505BD457">
      <w:pPr>
        <w:shd w:val="clear"/>
        <w:autoSpaceDE w:val="0"/>
        <w:autoSpaceDN w:val="0"/>
        <w:spacing w:line="500" w:lineRule="exact"/>
        <w:ind w:firstLine="360" w:firstLineChars="150"/>
        <w:jc w:val="left"/>
        <w:rPr>
          <w:rFonts w:ascii="宋体" w:hAnsi="宋体"/>
          <w:bCs/>
          <w:color w:val="000000"/>
          <w:kern w:val="0"/>
          <w:szCs w:val="21"/>
          <w:highlight w:val="none"/>
        </w:rPr>
      </w:pPr>
      <w:r>
        <w:rPr>
          <w:rFonts w:hint="eastAsia" w:ascii="宋体" w:hAnsi="宋体"/>
          <w:bCs/>
          <w:color w:val="000000"/>
          <w:kern w:val="0"/>
          <w:szCs w:val="21"/>
          <w:highlight w:val="none"/>
        </w:rPr>
        <w:t xml:space="preserve"> B1.2.9 不同投标人聘请同一个人为其投标提供技术或者经济咨询服务的，但招标工程本身要求采用专有技术的除外；</w:t>
      </w:r>
    </w:p>
    <w:p w14:paraId="29E6C799">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B1.2.10不同投标人的投标文件异常一致或者投标报价呈规律性差异；</w:t>
      </w:r>
    </w:p>
    <w:p w14:paraId="531F3D01">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B1.2.11不同投标人的投标文件错漏之处一致的；</w:t>
      </w:r>
    </w:p>
    <w:p w14:paraId="169A7DE6">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B1.2.12不同投标人的投标文件相互混装；</w:t>
      </w:r>
    </w:p>
    <w:p w14:paraId="282C8C73">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B1.2.13不同投标人的投标文件由同一台电脑编制或者同一台附属设备打印；</w:t>
      </w:r>
    </w:p>
    <w:p w14:paraId="48DBA41D">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B1.2.14不同投标人的投标保证金从同一单位或者个人的账户转出；</w:t>
      </w:r>
    </w:p>
    <w:p w14:paraId="315F7158">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B1.2.15不同投标人使用同一个人或者企业资金交纳投标保证金或者投标保函的反担保的；</w:t>
      </w:r>
    </w:p>
    <w:p w14:paraId="0369CEC1">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B1.2.16使用伪造、变造的许可证件；</w:t>
      </w:r>
    </w:p>
    <w:p w14:paraId="31F3E824">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B1.2.17提供虚假的财务状况或者业绩；</w:t>
      </w:r>
    </w:p>
    <w:p w14:paraId="36C664B0">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B1.2.18提供虚假的项目负责人或者主要技术人员简历、劳动关系证明；</w:t>
      </w:r>
    </w:p>
    <w:p w14:paraId="063C5BA3">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B1.2.19提供虚假的信用状况；</w:t>
      </w:r>
    </w:p>
    <w:p w14:paraId="4EBA3A5B">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B1.2.20其他弄虚作假的行为；</w:t>
      </w:r>
    </w:p>
    <w:p w14:paraId="02BEC89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B1.2.21招标人在开标前开启投标文件并将有关信息泄露给其他投标人；</w:t>
      </w:r>
    </w:p>
    <w:p w14:paraId="63B1B1D8">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B1.2.22招标人直接或者间接向投标人泄露标底、评标委员会成员等信息；</w:t>
      </w:r>
    </w:p>
    <w:p w14:paraId="4B713D0C">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B1.2.23招标人明示或者暗示投标人压低或者抬高投标报价；</w:t>
      </w:r>
    </w:p>
    <w:p w14:paraId="7CEFF609">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B1.2.24招标人授意投标人撤换、修改投标文件；</w:t>
      </w:r>
    </w:p>
    <w:p w14:paraId="5735708A">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B1.2.25招标人明示或者暗示投标人为特定投标人中标提供方便；</w:t>
      </w:r>
    </w:p>
    <w:p w14:paraId="088BB37F">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B1.2.26招标人与投标人为谋求特定投标人中标而采取的其他串通行为；</w:t>
      </w:r>
    </w:p>
    <w:p w14:paraId="0424CCC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B1.2.27评标委员会认定的其他串通投标情形；</w:t>
      </w:r>
    </w:p>
    <w:p w14:paraId="03F867FE">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B1.3不按评标委员会要求澄清、说明或补正的。</w:t>
      </w:r>
    </w:p>
    <w:p w14:paraId="287C624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B1.4在形式评审、资格评审（适用于未进行资格预审的）、响应性评审中，评标委员会认定投标人的投标文件不符合评标办法前附表中规定的任何一项评审标准的。</w:t>
      </w:r>
    </w:p>
    <w:p w14:paraId="74ABB43E">
      <w:pPr>
        <w:shd w:val="clear"/>
        <w:autoSpaceDE w:val="0"/>
        <w:autoSpaceDN w:val="0"/>
        <w:spacing w:line="500" w:lineRule="exact"/>
        <w:ind w:firstLine="360"/>
        <w:jc w:val="left"/>
        <w:rPr>
          <w:rFonts w:ascii="宋体" w:hAnsi="宋体"/>
          <w:bCs/>
          <w:color w:val="000000"/>
          <w:kern w:val="0"/>
          <w:szCs w:val="21"/>
          <w:highlight w:val="none"/>
        </w:rPr>
      </w:pPr>
      <w:r>
        <w:rPr>
          <w:rFonts w:ascii="宋体" w:hAnsi="宋体"/>
          <w:bCs/>
          <w:color w:val="000000"/>
          <w:kern w:val="0"/>
          <w:szCs w:val="21"/>
          <w:highlight w:val="none"/>
        </w:rPr>
        <w:t>B1.</w:t>
      </w:r>
      <w:r>
        <w:rPr>
          <w:rFonts w:hint="eastAsia"/>
          <w:bCs/>
          <w:color w:val="000000"/>
          <w:kern w:val="0"/>
          <w:szCs w:val="21"/>
          <w:highlight w:val="none"/>
          <w:lang w:val="en-US" w:eastAsia="zh-CN"/>
        </w:rPr>
        <w:t>5</w:t>
      </w:r>
      <w:r>
        <w:rPr>
          <w:rFonts w:hint="eastAsia" w:ascii="宋体" w:hAnsi="宋体"/>
          <w:bCs/>
          <w:color w:val="000000"/>
          <w:kern w:val="0"/>
          <w:szCs w:val="21"/>
          <w:highlight w:val="none"/>
        </w:rPr>
        <w:t>在技术标和资信标评审中，评标委员会认定投标人的投标未能通过此项评审的。</w:t>
      </w:r>
    </w:p>
    <w:p w14:paraId="44888565">
      <w:pPr>
        <w:shd w:val="clear"/>
        <w:autoSpaceDE w:val="0"/>
        <w:autoSpaceDN w:val="0"/>
        <w:spacing w:line="500" w:lineRule="exact"/>
        <w:ind w:firstLine="360"/>
        <w:jc w:val="left"/>
        <w:rPr>
          <w:rFonts w:ascii="宋体" w:hAnsi="宋体"/>
          <w:bCs/>
          <w:color w:val="000000"/>
          <w:kern w:val="0"/>
          <w:szCs w:val="21"/>
          <w:highlight w:val="none"/>
        </w:rPr>
      </w:pPr>
      <w:r>
        <w:rPr>
          <w:rFonts w:hint="eastAsia" w:ascii="宋体" w:hAnsi="宋体"/>
          <w:bCs/>
          <w:color w:val="000000"/>
          <w:kern w:val="0"/>
          <w:szCs w:val="21"/>
          <w:highlight w:val="none"/>
        </w:rPr>
        <w:t>B1.</w:t>
      </w:r>
      <w:r>
        <w:rPr>
          <w:rFonts w:hint="eastAsia"/>
          <w:bCs/>
          <w:color w:val="000000"/>
          <w:kern w:val="0"/>
          <w:szCs w:val="21"/>
          <w:highlight w:val="none"/>
          <w:lang w:val="en-US" w:eastAsia="zh-CN"/>
        </w:rPr>
        <w:t>6</w:t>
      </w:r>
      <w:r>
        <w:rPr>
          <w:rFonts w:hint="eastAsia" w:ascii="宋体" w:hAnsi="宋体"/>
          <w:bCs/>
          <w:color w:val="000000"/>
          <w:kern w:val="0"/>
          <w:szCs w:val="21"/>
          <w:highlight w:val="none"/>
        </w:rPr>
        <w:t>评标委员会认定投标人以低于成本报价竞标的。</w:t>
      </w:r>
    </w:p>
    <w:p w14:paraId="0A0B3E98">
      <w:pPr>
        <w:pStyle w:val="57"/>
        <w:widowControl/>
        <w:shd w:val="clear"/>
        <w:spacing w:beforeLines="0" w:line="300" w:lineRule="auto"/>
        <w:ind w:left="1233" w:leftChars="514" w:firstLine="660" w:firstLineChars="150"/>
        <w:jc w:val="both"/>
        <w:rPr>
          <w:rFonts w:hint="eastAsia"/>
          <w:color w:val="000000"/>
          <w:kern w:val="0"/>
          <w:szCs w:val="21"/>
          <w:highlight w:val="none"/>
        </w:rPr>
      </w:pPr>
    </w:p>
    <w:p w14:paraId="104F226E">
      <w:pPr>
        <w:pStyle w:val="57"/>
        <w:widowControl/>
        <w:shd w:val="clear"/>
        <w:spacing w:beforeLines="0" w:line="300" w:lineRule="auto"/>
        <w:ind w:left="1233" w:leftChars="514" w:firstLine="660" w:firstLineChars="150"/>
        <w:jc w:val="both"/>
        <w:rPr>
          <w:rFonts w:hint="eastAsia"/>
          <w:color w:val="000000"/>
          <w:kern w:val="0"/>
          <w:szCs w:val="21"/>
          <w:highlight w:val="none"/>
        </w:rPr>
      </w:pPr>
    </w:p>
    <w:p w14:paraId="16FFE8B3">
      <w:pPr>
        <w:pStyle w:val="3"/>
        <w:shd w:val="clear"/>
        <w:jc w:val="center"/>
        <w:rPr>
          <w:highlight w:val="none"/>
        </w:rPr>
      </w:pPr>
      <w:r>
        <w:rPr>
          <w:rFonts w:hint="eastAsia"/>
          <w:color w:val="000000"/>
          <w:kern w:val="0"/>
          <w:szCs w:val="21"/>
          <w:highlight w:val="none"/>
        </w:rPr>
        <w:br w:type="page"/>
      </w:r>
      <w:bookmarkStart w:id="140" w:name="_Toc22717_WPSOffice_Level1"/>
      <w:bookmarkStart w:id="141" w:name="_Toc18792_WPSOffice_Level1"/>
      <w:r>
        <w:rPr>
          <w:rFonts w:hint="eastAsia" w:ascii="Times New Roman" w:hAnsi="Times New Roman" w:eastAsia="黑体" w:cs="Times New Roman"/>
          <w:b/>
          <w:bCs w:val="0"/>
          <w:color w:val="000000"/>
          <w:kern w:val="0"/>
          <w:sz w:val="44"/>
          <w:szCs w:val="21"/>
          <w:highlight w:val="none"/>
          <w:lang w:val="en-US" w:eastAsia="zh-CN" w:bidi="ar-SA"/>
        </w:rPr>
        <w:t>第四章</w:t>
      </w:r>
      <w:r>
        <w:rPr>
          <w:rFonts w:hint="eastAsia" w:ascii="Times New Roman" w:hAnsi="Times New Roman" w:cs="Times New Roman"/>
          <w:b/>
          <w:bCs w:val="0"/>
          <w:color w:val="000000"/>
          <w:kern w:val="0"/>
          <w:sz w:val="44"/>
          <w:szCs w:val="21"/>
          <w:highlight w:val="none"/>
          <w:lang w:val="en-US" w:eastAsia="zh-CN" w:bidi="ar-SA"/>
        </w:rPr>
        <w:t xml:space="preserve"> </w:t>
      </w:r>
      <w:r>
        <w:rPr>
          <w:rFonts w:hint="eastAsia" w:ascii="Times New Roman" w:hAnsi="Times New Roman" w:eastAsia="黑体" w:cs="Times New Roman"/>
          <w:b/>
          <w:bCs w:val="0"/>
          <w:color w:val="000000"/>
          <w:kern w:val="0"/>
          <w:sz w:val="44"/>
          <w:szCs w:val="21"/>
          <w:highlight w:val="none"/>
          <w:lang w:val="en-US" w:eastAsia="zh-CN" w:bidi="ar-SA"/>
        </w:rPr>
        <w:t>技术要求</w:t>
      </w:r>
      <w:bookmarkEnd w:id="140"/>
      <w:bookmarkEnd w:id="141"/>
    </w:p>
    <w:p w14:paraId="6CF23552">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装车单磅上自动打印系统</w:t>
      </w:r>
    </w:p>
    <w:p w14:paraId="282E333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装车单自动打印系统应实现皮重计量完成后自动判断是否需要打印装车单：符合预设规则的，计量结束即自动打印并提示司机取单；需人工确认的，应自动生成并下发打印请求至管理端，由值班人员审核后远程触发打印。</w:t>
      </w:r>
      <w:r>
        <w:rPr>
          <w:rFonts w:hint="eastAsia" w:cs="宋体"/>
          <w:b w:val="0"/>
          <w:bCs w:val="0"/>
          <w:sz w:val="24"/>
          <w:szCs w:val="24"/>
          <w:highlight w:val="none"/>
          <w:lang w:val="en-US" w:eastAsia="zh-CN"/>
        </w:rPr>
        <w:t>应具备</w:t>
      </w:r>
      <w:r>
        <w:rPr>
          <w:rFonts w:hint="eastAsia" w:ascii="宋体" w:hAnsi="宋体" w:eastAsia="宋体" w:cs="宋体"/>
          <w:b w:val="0"/>
          <w:bCs w:val="0"/>
          <w:sz w:val="24"/>
          <w:szCs w:val="24"/>
          <w:highlight w:val="none"/>
        </w:rPr>
        <w:t>物料维护功能</w:t>
      </w:r>
      <w:r>
        <w:rPr>
          <w:rFonts w:hint="eastAsia" w:cs="宋体"/>
          <w:b w:val="0"/>
          <w:bCs w:val="0"/>
          <w:sz w:val="24"/>
          <w:szCs w:val="24"/>
          <w:highlight w:val="none"/>
          <w:lang w:eastAsia="zh-CN"/>
        </w:rPr>
        <w:t>、</w:t>
      </w:r>
      <w:r>
        <w:rPr>
          <w:rFonts w:hint="eastAsia" w:ascii="宋体" w:hAnsi="宋体" w:eastAsia="宋体" w:cs="宋体"/>
          <w:b w:val="0"/>
          <w:bCs w:val="0"/>
          <w:sz w:val="24"/>
          <w:szCs w:val="24"/>
          <w:highlight w:val="none"/>
        </w:rPr>
        <w:t>打印机监控功能</w:t>
      </w:r>
      <w:r>
        <w:rPr>
          <w:rFonts w:hint="eastAsia" w:cs="宋体"/>
          <w:b w:val="0"/>
          <w:bCs w:val="0"/>
          <w:sz w:val="24"/>
          <w:szCs w:val="24"/>
          <w:highlight w:val="none"/>
          <w:lang w:eastAsia="zh-CN"/>
        </w:rPr>
        <w:t>、</w:t>
      </w:r>
      <w:r>
        <w:rPr>
          <w:rFonts w:hint="eastAsia" w:ascii="宋体" w:hAnsi="宋体" w:eastAsia="宋体" w:cs="宋体"/>
          <w:b w:val="0"/>
          <w:bCs w:val="0"/>
          <w:sz w:val="24"/>
          <w:szCs w:val="24"/>
          <w:highlight w:val="none"/>
        </w:rPr>
        <w:t>管理端功能</w:t>
      </w:r>
      <w:r>
        <w:rPr>
          <w:rFonts w:hint="eastAsia" w:cs="宋体"/>
          <w:b w:val="0"/>
          <w:bCs w:val="0"/>
          <w:sz w:val="24"/>
          <w:szCs w:val="24"/>
          <w:highlight w:val="none"/>
          <w:lang w:eastAsia="zh-CN"/>
        </w:rPr>
        <w:t>。</w:t>
      </w:r>
    </w:p>
    <w:p w14:paraId="34028B8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自动打印装置应采用工业级硬件，满足厂区室外环境下的连续运行需求，具备良好的耐候性、抗干扰能力与稳定性。LED显示屏需满足现场可视距离与可读性要求</w:t>
      </w:r>
      <w:r>
        <w:rPr>
          <w:rFonts w:hint="eastAsia" w:cs="宋体"/>
          <w:b w:val="0"/>
          <w:bCs w:val="0"/>
          <w:sz w:val="24"/>
          <w:szCs w:val="24"/>
          <w:highlight w:val="none"/>
          <w:lang w:eastAsia="zh-CN"/>
        </w:rPr>
        <w:t>。</w:t>
      </w:r>
    </w:p>
    <w:p w14:paraId="5D442DB0">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计量报表系统优化</w:t>
      </w:r>
    </w:p>
    <w:p w14:paraId="76FD1FC2">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全面优化现有的报表系统功能，解决随着数据量增大导致的报表加载缓慢、卡顿等问题</w:t>
      </w:r>
      <w:r>
        <w:rPr>
          <w:rFonts w:hint="eastAsia" w:cs="宋体"/>
          <w:b w:val="0"/>
          <w:bCs w:val="0"/>
          <w:sz w:val="24"/>
          <w:szCs w:val="24"/>
          <w:highlight w:val="none"/>
          <w:lang w:eastAsia="zh-CN"/>
        </w:rPr>
        <w:t>。</w:t>
      </w:r>
    </w:p>
    <w:p w14:paraId="0F6E8CD3">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Oracle 数据库现状检查与诊断评估</w:t>
      </w:r>
    </w:p>
    <w:p w14:paraId="3572F3B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针对Oracle 数据库开展一次性现状检查与诊断评估，对关键参数配置与安全基线进行核查；对账号与权限进行梳理校验，并对数据库版本及补丁信息进行现状梳理与差距提示。服务完成后提供认证工程师签署的完整报告。</w:t>
      </w:r>
    </w:p>
    <w:p w14:paraId="0EE618AD">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一卡通系统数据接口</w:t>
      </w:r>
    </w:p>
    <w:p w14:paraId="72CBBA4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投标人应负责与一卡通系统服务商协调完成与现有一卡通系统及相关业务系统的接口对接或数据交换工作，确保司机身份、车辆信息、计量结果、物料名称与装车单打印信息能够准确联动。</w:t>
      </w:r>
    </w:p>
    <w:p w14:paraId="7CF9DEA4">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5.实施交付、培训与验收</w:t>
      </w:r>
    </w:p>
    <w:p w14:paraId="6E55495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人须提供详细实施方案与计划，包括现场踏勘、安装施工组织、系统联调、试运行安排及风险控制措施。系统上线前须完成功能测试、稳定性测试与现场联动验证，并提供操作手册、维护手册及必要的备品备件清单。对值班人员与运维人员开展培训，确保其掌握管理端审核、规则维护、耗材更换、故障处理与日常巡检等操作。</w:t>
      </w:r>
    </w:p>
    <w:p w14:paraId="6ABD2904">
      <w:pPr>
        <w:keepNext w:val="0"/>
        <w:keepLines w:val="0"/>
        <w:pageBreakBefore w:val="0"/>
        <w:widowControl w:val="0"/>
        <w:numPr>
          <w:ilvl w:val="0"/>
          <w:numId w:val="3"/>
        </w:numPr>
        <w:shd w:val="clear"/>
        <w:kinsoku/>
        <w:wordWrap/>
        <w:overflowPunct/>
        <w:topLinePunct w:val="0"/>
        <w:autoSpaceDE/>
        <w:autoSpaceDN/>
        <w:bidi w:val="0"/>
        <w:adjustRightInd/>
        <w:snapToGrid w:val="0"/>
        <w:spacing w:line="360" w:lineRule="auto"/>
        <w:textAlignment w:val="auto"/>
        <w:rPr>
          <w:rFonts w:hint="eastAsia"/>
          <w:b/>
          <w:bCs/>
          <w:sz w:val="24"/>
          <w:szCs w:val="24"/>
          <w:lang w:val="en-US"/>
        </w:rPr>
      </w:pPr>
      <w:r>
        <w:rPr>
          <w:rFonts w:hint="eastAsia"/>
          <w:b/>
          <w:bCs/>
          <w:sz w:val="24"/>
          <w:szCs w:val="24"/>
          <w:lang w:val="en-US"/>
        </w:rPr>
        <w:t>售后服务</w:t>
      </w:r>
    </w:p>
    <w:p w14:paraId="2B0571E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rPr>
        <w:t>投标人提供不少于</w:t>
      </w:r>
      <w:r>
        <w:rPr>
          <w:rFonts w:hint="eastAsia" w:cs="宋体"/>
          <w:b w:val="0"/>
          <w:bCs w:val="0"/>
          <w:sz w:val="24"/>
          <w:szCs w:val="24"/>
          <w:highlight w:val="none"/>
          <w:lang w:val="en-US" w:eastAsia="zh-CN"/>
        </w:rPr>
        <w:t>12个月</w:t>
      </w:r>
      <w:r>
        <w:rPr>
          <w:rFonts w:hint="eastAsia" w:ascii="宋体" w:hAnsi="宋体" w:eastAsia="宋体" w:cs="宋体"/>
          <w:b w:val="0"/>
          <w:bCs w:val="0"/>
          <w:sz w:val="24"/>
          <w:szCs w:val="24"/>
          <w:highlight w:val="none"/>
          <w:lang w:val="en-US"/>
        </w:rPr>
        <w:t>的质保服务，质保期内对设备与软件缺陷负责免费修复与更换。应明确响应时限、到场时限、故障分级处理机制及备件保障方案，确保关键环节问题可快速恢复。</w:t>
      </w:r>
    </w:p>
    <w:p w14:paraId="64F6E16D">
      <w:pPr>
        <w:shd w:val="clear"/>
        <w:rPr>
          <w:rFonts w:hint="eastAsia"/>
          <w:color w:val="000000"/>
          <w:kern w:val="0"/>
          <w:szCs w:val="21"/>
          <w:highlight w:val="none"/>
        </w:rPr>
      </w:pPr>
    </w:p>
    <w:p w14:paraId="2A8BECD8">
      <w:pPr>
        <w:pStyle w:val="57"/>
        <w:widowControl/>
        <w:shd w:val="clear"/>
        <w:spacing w:beforeLines="0" w:line="300" w:lineRule="auto"/>
        <w:ind w:left="1233" w:leftChars="514" w:firstLine="660" w:firstLineChars="150"/>
        <w:jc w:val="both"/>
        <w:rPr>
          <w:color w:val="000000"/>
          <w:highlight w:val="none"/>
        </w:rPr>
      </w:pPr>
      <w:bookmarkStart w:id="142" w:name="_Toc386_WPSOffice_Level1"/>
      <w:bookmarkStart w:id="143" w:name="_Toc31044_WPSOffice_Level1"/>
      <w:r>
        <w:rPr>
          <w:rFonts w:hint="eastAsia"/>
          <w:color w:val="000000"/>
          <w:kern w:val="0"/>
          <w:szCs w:val="21"/>
          <w:highlight w:val="none"/>
        </w:rPr>
        <w:t>第</w:t>
      </w:r>
      <w:r>
        <w:rPr>
          <w:rFonts w:hint="eastAsia"/>
          <w:color w:val="000000"/>
          <w:kern w:val="0"/>
          <w:szCs w:val="21"/>
          <w:highlight w:val="none"/>
          <w:lang w:val="en-US" w:eastAsia="zh-CN"/>
        </w:rPr>
        <w:t>五</w:t>
      </w:r>
      <w:r>
        <w:rPr>
          <w:rFonts w:hint="eastAsia"/>
          <w:color w:val="000000"/>
          <w:kern w:val="0"/>
          <w:szCs w:val="21"/>
          <w:highlight w:val="none"/>
        </w:rPr>
        <w:t>章</w:t>
      </w:r>
      <w:r>
        <w:rPr>
          <w:color w:val="000000"/>
          <w:highlight w:val="none"/>
        </w:rPr>
        <w:t xml:space="preserve">  </w:t>
      </w:r>
      <w:r>
        <w:rPr>
          <w:rFonts w:hint="eastAsia"/>
          <w:color w:val="000000"/>
          <w:highlight w:val="none"/>
        </w:rPr>
        <w:t>合同条款及格式</w:t>
      </w:r>
      <w:bookmarkEnd w:id="142"/>
      <w:bookmarkEnd w:id="143"/>
    </w:p>
    <w:p w14:paraId="6E628E9E">
      <w:pPr>
        <w:shd w:val="clear"/>
        <w:spacing w:line="300" w:lineRule="auto"/>
        <w:rPr>
          <w:rFonts w:ascii="Times New Roman" w:hAnsi="Times New Roman" w:eastAsia="仿宋_GB2312"/>
          <w:color w:val="000000"/>
          <w:highlight w:val="none"/>
        </w:rPr>
      </w:pPr>
      <w:r>
        <w:rPr>
          <w:rFonts w:ascii="Times New Roman" w:hAnsi="Times New Roman" w:eastAsia="仿宋_GB2312"/>
          <w:color w:val="000000"/>
          <w:highlight w:val="none"/>
        </w:rPr>
        <w:tab/>
      </w:r>
    </w:p>
    <w:p w14:paraId="4439F0F4">
      <w:pPr>
        <w:shd w:val="clear"/>
        <w:tabs>
          <w:tab w:val="left" w:pos="1176"/>
        </w:tabs>
        <w:spacing w:line="360" w:lineRule="auto"/>
        <w:jc w:val="both"/>
        <w:rPr>
          <w:rFonts w:cs="仿宋"/>
          <w:sz w:val="44"/>
          <w:szCs w:val="44"/>
          <w:highlight w:val="none"/>
        </w:rPr>
      </w:pPr>
    </w:p>
    <w:p w14:paraId="1EA400DD">
      <w:pPr>
        <w:widowControl/>
        <w:shd w:val="clear"/>
        <w:tabs>
          <w:tab w:val="left" w:pos="0"/>
          <w:tab w:val="center" w:pos="4500"/>
        </w:tabs>
        <w:spacing w:line="720" w:lineRule="auto"/>
        <w:jc w:val="left"/>
        <w:outlineLvl w:val="0"/>
        <w:rPr>
          <w:rFonts w:hint="eastAsia" w:ascii="仿宋_GB2312" w:hAnsi="仿宋_GB2312" w:eastAsia="仿宋_GB2312" w:cs="仿宋_GB2312"/>
          <w:b/>
          <w:spacing w:val="20"/>
          <w:sz w:val="28"/>
          <w:szCs w:val="28"/>
          <w:highlight w:val="none"/>
        </w:rPr>
      </w:pPr>
      <w:bookmarkStart w:id="144" w:name="_Toc508871745"/>
      <w:r>
        <w:rPr>
          <w:rFonts w:hint="eastAsia" w:ascii="仿宋_GB2312" w:hAnsi="仿宋_GB2312" w:eastAsia="仿宋_GB2312" w:cs="仿宋_GB2312"/>
          <w:b/>
          <w:spacing w:val="20"/>
          <w:sz w:val="28"/>
          <w:szCs w:val="28"/>
          <w:highlight w:val="none"/>
        </w:rPr>
        <w:t>合同编号：</w:t>
      </w:r>
    </w:p>
    <w:p w14:paraId="77E5E771">
      <w:pPr>
        <w:widowControl/>
        <w:shd w:val="clear"/>
        <w:tabs>
          <w:tab w:val="left" w:pos="0"/>
        </w:tabs>
        <w:spacing w:line="720" w:lineRule="auto"/>
        <w:jc w:val="left"/>
        <w:outlineLvl w:val="0"/>
        <w:rPr>
          <w:rFonts w:hint="eastAsia" w:ascii="仿宋_GB2312" w:hAnsi="仿宋_GB2312" w:eastAsia="仿宋_GB2312" w:cs="仿宋_GB2312"/>
          <w:b/>
          <w:spacing w:val="20"/>
          <w:sz w:val="44"/>
          <w:highlight w:val="none"/>
        </w:rPr>
      </w:pPr>
    </w:p>
    <w:p w14:paraId="0187DC85">
      <w:pPr>
        <w:shd w:val="clear"/>
        <w:jc w:val="center"/>
        <w:rPr>
          <w:rFonts w:hint="eastAsia" w:ascii="仿宋_GB2312" w:hAnsi="仿宋_GB2312" w:eastAsia="仿宋_GB2312" w:cs="仿宋_GB2312"/>
          <w:b/>
          <w:bCs/>
          <w:sz w:val="48"/>
          <w:highlight w:val="none"/>
        </w:rPr>
      </w:pPr>
      <w:r>
        <w:rPr>
          <w:rFonts w:hint="eastAsia" w:ascii="仿宋_GB2312" w:hAnsi="仿宋_GB2312" w:eastAsia="仿宋_GB2312" w:cs="仿宋_GB2312"/>
          <w:b/>
          <w:bCs/>
          <w:spacing w:val="20"/>
          <w:sz w:val="44"/>
          <w:szCs w:val="44"/>
          <w:highlight w:val="none"/>
        </w:rPr>
        <w:t>山东济钢环保新材料有限公司</w:t>
      </w:r>
    </w:p>
    <w:p w14:paraId="099134AB">
      <w:pPr>
        <w:shd w:val="clear"/>
        <w:jc w:val="center"/>
        <w:rPr>
          <w:rFonts w:hint="eastAsia" w:ascii="仿宋_GB2312" w:hAnsi="仿宋_GB2312" w:eastAsia="仿宋_GB2312" w:cs="仿宋_GB2312"/>
          <w:b/>
          <w:bCs/>
          <w:sz w:val="48"/>
          <w:highlight w:val="none"/>
        </w:rPr>
      </w:pPr>
    </w:p>
    <w:p w14:paraId="234B0CB9">
      <w:pPr>
        <w:shd w:val="clear"/>
        <w:adjustRightInd w:val="0"/>
        <w:snapToGrid w:val="0"/>
        <w:spacing w:line="360" w:lineRule="auto"/>
        <w:jc w:val="center"/>
        <w:rPr>
          <w:rFonts w:hint="eastAsia" w:ascii="仿宋_GB2312" w:hAnsi="仿宋_GB2312" w:eastAsia="仿宋_GB2312" w:cs="仿宋_GB2312"/>
          <w:b/>
          <w:bCs/>
          <w:sz w:val="48"/>
          <w:highlight w:val="none"/>
        </w:rPr>
      </w:pPr>
      <w:r>
        <w:rPr>
          <w:rFonts w:hint="eastAsia" w:ascii="仿宋_GB2312" w:hAnsi="仿宋_GB2312" w:eastAsia="仿宋_GB2312" w:cs="仿宋_GB2312"/>
          <w:b/>
          <w:bCs/>
          <w:sz w:val="48"/>
          <w:highlight w:val="none"/>
          <w:lang w:val="en-US" w:eastAsia="zh-CN"/>
        </w:rPr>
        <w:t>**********</w:t>
      </w:r>
      <w:r>
        <w:rPr>
          <w:rFonts w:hint="eastAsia" w:ascii="仿宋_GB2312" w:hAnsi="仿宋_GB2312" w:eastAsia="仿宋_GB2312" w:cs="仿宋_GB2312"/>
          <w:b/>
          <w:bCs/>
          <w:sz w:val="48"/>
          <w:highlight w:val="none"/>
        </w:rPr>
        <w:t>合同</w:t>
      </w:r>
    </w:p>
    <w:p w14:paraId="07EFB7B5">
      <w:pPr>
        <w:shd w:val="clear"/>
        <w:adjustRightInd w:val="0"/>
        <w:snapToGrid w:val="0"/>
        <w:spacing w:line="360" w:lineRule="auto"/>
        <w:jc w:val="center"/>
        <w:rPr>
          <w:rFonts w:hint="eastAsia" w:ascii="仿宋_GB2312" w:hAnsi="仿宋_GB2312" w:eastAsia="仿宋_GB2312" w:cs="仿宋_GB2312"/>
          <w:b/>
          <w:bCs/>
          <w:sz w:val="48"/>
          <w:highlight w:val="none"/>
        </w:rPr>
      </w:pPr>
    </w:p>
    <w:p w14:paraId="3BF9F823">
      <w:pPr>
        <w:shd w:val="clear"/>
        <w:jc w:val="left"/>
        <w:rPr>
          <w:rFonts w:hint="eastAsia" w:ascii="仿宋_GB2312" w:hAnsi="仿宋_GB2312" w:eastAsia="仿宋_GB2312" w:cs="仿宋_GB2312"/>
          <w:b/>
          <w:sz w:val="36"/>
          <w:highlight w:val="none"/>
        </w:rPr>
      </w:pPr>
    </w:p>
    <w:p w14:paraId="740D0C53">
      <w:pPr>
        <w:shd w:val="clear"/>
        <w:jc w:val="left"/>
        <w:rPr>
          <w:rFonts w:hint="eastAsia" w:ascii="仿宋_GB2312" w:hAnsi="仿宋_GB2312" w:eastAsia="仿宋_GB2312" w:cs="仿宋_GB2312"/>
          <w:b/>
          <w:sz w:val="36"/>
          <w:highlight w:val="none"/>
        </w:rPr>
      </w:pPr>
    </w:p>
    <w:p w14:paraId="3A0E0AE7">
      <w:pPr>
        <w:shd w:val="clear"/>
        <w:jc w:val="left"/>
        <w:rPr>
          <w:rFonts w:hint="eastAsia" w:ascii="仿宋_GB2312" w:hAnsi="仿宋_GB2312" w:eastAsia="仿宋_GB2312" w:cs="仿宋_GB2312"/>
          <w:b/>
          <w:sz w:val="36"/>
          <w:highlight w:val="none"/>
        </w:rPr>
      </w:pPr>
    </w:p>
    <w:p w14:paraId="379CD7F9">
      <w:pPr>
        <w:shd w:val="clear"/>
        <w:jc w:val="left"/>
        <w:rPr>
          <w:rFonts w:hint="eastAsia" w:ascii="仿宋_GB2312" w:hAnsi="仿宋_GB2312" w:eastAsia="仿宋_GB2312" w:cs="仿宋_GB2312"/>
          <w:b/>
          <w:sz w:val="36"/>
          <w:highlight w:val="none"/>
        </w:rPr>
      </w:pPr>
    </w:p>
    <w:p w14:paraId="4C284CB5">
      <w:pPr>
        <w:shd w:val="clear"/>
        <w:jc w:val="left"/>
        <w:rPr>
          <w:rFonts w:hint="eastAsia" w:ascii="仿宋_GB2312" w:hAnsi="仿宋_GB2312" w:eastAsia="仿宋_GB2312" w:cs="仿宋_GB2312"/>
          <w:b/>
          <w:sz w:val="36"/>
          <w:highlight w:val="none"/>
        </w:rPr>
      </w:pPr>
    </w:p>
    <w:p w14:paraId="39308997">
      <w:pPr>
        <w:shd w:val="clear"/>
        <w:jc w:val="left"/>
        <w:rPr>
          <w:rFonts w:hint="eastAsia" w:ascii="仿宋_GB2312" w:hAnsi="仿宋_GB2312" w:eastAsia="仿宋_GB2312" w:cs="仿宋_GB2312"/>
          <w:b/>
          <w:sz w:val="36"/>
          <w:highlight w:val="none"/>
        </w:rPr>
      </w:pPr>
    </w:p>
    <w:tbl>
      <w:tblPr>
        <w:tblStyle w:val="46"/>
        <w:tblW w:w="0" w:type="auto"/>
        <w:jc w:val="center"/>
        <w:tblLayout w:type="fixed"/>
        <w:tblCellMar>
          <w:top w:w="0" w:type="dxa"/>
          <w:left w:w="108" w:type="dxa"/>
          <w:bottom w:w="0" w:type="dxa"/>
          <w:right w:w="108" w:type="dxa"/>
        </w:tblCellMar>
      </w:tblPr>
      <w:tblGrid>
        <w:gridCol w:w="2325"/>
        <w:gridCol w:w="4857"/>
      </w:tblGrid>
      <w:tr w14:paraId="73CF8DC1">
        <w:trPr>
          <w:trHeight w:val="567" w:hRule="exact"/>
          <w:jc w:val="center"/>
        </w:trPr>
        <w:tc>
          <w:tcPr>
            <w:tcW w:w="2325" w:type="dxa"/>
            <w:noWrap w:val="0"/>
            <w:vAlign w:val="top"/>
          </w:tcPr>
          <w:p w14:paraId="566DA908">
            <w:pPr>
              <w:shd w:val="clear"/>
              <w:spacing w:line="48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甲 方：</w:t>
            </w:r>
          </w:p>
        </w:tc>
        <w:tc>
          <w:tcPr>
            <w:tcW w:w="4857" w:type="dxa"/>
            <w:noWrap w:val="0"/>
            <w:vAlign w:val="top"/>
          </w:tcPr>
          <w:p w14:paraId="211A8E0C">
            <w:pPr>
              <w:shd w:val="clear"/>
              <w:spacing w:line="48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山东济钢环保新材料有限公司</w:t>
            </w:r>
          </w:p>
        </w:tc>
      </w:tr>
      <w:tr w14:paraId="17B01B83">
        <w:tblPrEx>
          <w:tblCellMar>
            <w:top w:w="0" w:type="dxa"/>
            <w:left w:w="108" w:type="dxa"/>
            <w:bottom w:w="0" w:type="dxa"/>
            <w:right w:w="108" w:type="dxa"/>
          </w:tblCellMar>
        </w:tblPrEx>
        <w:trPr>
          <w:trHeight w:val="567" w:hRule="exact"/>
          <w:jc w:val="center"/>
        </w:trPr>
        <w:tc>
          <w:tcPr>
            <w:tcW w:w="2325" w:type="dxa"/>
            <w:noWrap w:val="0"/>
            <w:vAlign w:val="top"/>
          </w:tcPr>
          <w:p w14:paraId="3999DAC9">
            <w:pPr>
              <w:shd w:val="clear"/>
              <w:spacing w:line="48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乙 方：</w:t>
            </w:r>
          </w:p>
        </w:tc>
        <w:tc>
          <w:tcPr>
            <w:tcW w:w="4857" w:type="dxa"/>
            <w:noWrap w:val="0"/>
            <w:vAlign w:val="top"/>
          </w:tcPr>
          <w:p w14:paraId="13BF792F">
            <w:pPr>
              <w:shd w:val="clear"/>
              <w:spacing w:line="480" w:lineRule="auto"/>
              <w:rPr>
                <w:rFonts w:hint="eastAsia" w:ascii="仿宋_GB2312" w:hAnsi="仿宋_GB2312" w:eastAsia="仿宋_GB2312" w:cs="仿宋_GB2312"/>
                <w:b/>
                <w:sz w:val="28"/>
                <w:szCs w:val="28"/>
                <w:highlight w:val="none"/>
              </w:rPr>
            </w:pPr>
          </w:p>
        </w:tc>
      </w:tr>
    </w:tbl>
    <w:p w14:paraId="73106416">
      <w:pPr>
        <w:shd w:val="clear"/>
        <w:spacing w:line="480" w:lineRule="auto"/>
        <w:ind w:firstLine="963" w:firstLineChars="344"/>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签订地点：       济南市章丘区</w:t>
      </w:r>
    </w:p>
    <w:p w14:paraId="5944F254">
      <w:pPr>
        <w:shd w:val="clear"/>
        <w:spacing w:line="480" w:lineRule="auto"/>
        <w:jc w:val="center"/>
        <w:rPr>
          <w:rFonts w:hint="eastAsia" w:ascii="仿宋_GB2312" w:hAnsi="仿宋_GB2312" w:eastAsia="仿宋_GB2312" w:cs="仿宋_GB2312"/>
          <w:b/>
          <w:sz w:val="28"/>
          <w:szCs w:val="28"/>
          <w:highlight w:val="none"/>
        </w:rPr>
        <w:sectPr>
          <w:footerReference r:id="rId5" w:type="default"/>
          <w:pgSz w:w="11906" w:h="16838"/>
          <w:pgMar w:top="1440" w:right="1466" w:bottom="1440" w:left="1440" w:header="851" w:footer="992" w:gutter="0"/>
          <w:pgNumType w:fmt="decimal" w:start="1"/>
          <w:cols w:space="720" w:num="1"/>
          <w:docGrid w:type="linesAndChars" w:linePitch="312" w:charSpace="0"/>
        </w:sectPr>
      </w:pPr>
      <w:r>
        <w:rPr>
          <w:rFonts w:hint="eastAsia" w:ascii="仿宋_GB2312" w:hAnsi="仿宋_GB2312" w:eastAsia="仿宋_GB2312" w:cs="仿宋_GB2312"/>
          <w:b/>
          <w:sz w:val="28"/>
          <w:szCs w:val="28"/>
          <w:highlight w:val="none"/>
        </w:rPr>
        <w:t xml:space="preserve">   年  月  日                </w:t>
      </w:r>
    </w:p>
    <w:p w14:paraId="56968711">
      <w:pPr>
        <w:shd w:val="clear"/>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u w:val="none"/>
          <w:lang w:val="en-US" w:eastAsia="zh-CN"/>
        </w:rPr>
        <w:t>**********</w:t>
      </w:r>
      <w:r>
        <w:rPr>
          <w:rFonts w:hint="eastAsia" w:ascii="仿宋_GB2312" w:hAnsi="仿宋_GB2312" w:eastAsia="仿宋_GB2312" w:cs="仿宋_GB2312"/>
          <w:b/>
          <w:bCs/>
          <w:sz w:val="36"/>
          <w:szCs w:val="36"/>
          <w:highlight w:val="none"/>
        </w:rPr>
        <w:t>合同</w:t>
      </w:r>
    </w:p>
    <w:p w14:paraId="2DB9E115">
      <w:pPr>
        <w:shd w:val="clear"/>
        <w:spacing w:line="420" w:lineRule="exact"/>
        <w:ind w:firstLine="560" w:firstLineChars="200"/>
        <w:rPr>
          <w:rFonts w:hint="eastAsia" w:ascii="仿宋_GB2312" w:eastAsia="仿宋_GB2312" w:cs="仿宋"/>
          <w:sz w:val="28"/>
          <w:szCs w:val="28"/>
          <w:highlight w:val="none"/>
        </w:rPr>
      </w:pPr>
    </w:p>
    <w:p w14:paraId="6F17B850">
      <w:pPr>
        <w:shd w:val="clear"/>
        <w:spacing w:line="420" w:lineRule="exact"/>
        <w:ind w:firstLine="560" w:firstLineChars="200"/>
        <w:rPr>
          <w:rFonts w:hint="eastAsia" w:ascii="仿宋_GB2312" w:eastAsia="仿宋_GB2312" w:cs="仿宋"/>
          <w:sz w:val="28"/>
          <w:szCs w:val="28"/>
          <w:highlight w:val="none"/>
        </w:rPr>
      </w:pPr>
      <w:r>
        <w:rPr>
          <w:rFonts w:hint="eastAsia" w:ascii="仿宋_GB2312" w:eastAsia="仿宋_GB2312" w:cs="仿宋"/>
          <w:sz w:val="28"/>
          <w:szCs w:val="28"/>
          <w:highlight w:val="none"/>
        </w:rPr>
        <w:t>山东济钢环保新材料有限公司</w:t>
      </w:r>
      <w:r>
        <w:rPr>
          <w:rFonts w:hint="eastAsia" w:ascii="仿宋_GB2312" w:eastAsia="仿宋_GB2312" w:cs="仿宋"/>
          <w:sz w:val="28"/>
          <w:szCs w:val="28"/>
          <w:highlight w:val="none"/>
          <w:lang w:val="en-US" w:eastAsia="zh-CN"/>
        </w:rPr>
        <w:t>皮重计量</w:t>
      </w:r>
      <w:r>
        <w:rPr>
          <w:rFonts w:hint="eastAsia" w:ascii="仿宋_GB2312" w:eastAsia="仿宋_GB2312" w:cs="仿宋"/>
          <w:sz w:val="28"/>
          <w:szCs w:val="28"/>
          <w:highlight w:val="none"/>
        </w:rPr>
        <w:t>自助打印改造服务项目，由乙方承包此项目，为确保如期保质保量完成本项目，依据《中华人民共和国民法典》、有关法律法规和规程，结合项目具体情况，为明确各自的义务和责任，经双方协商一致，同意订立本合同如下，以便共同恪守执行。</w:t>
      </w:r>
    </w:p>
    <w:p w14:paraId="1F76E560">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根据《中华人民共和国民法典》和相关法律法规，经</w:t>
      </w:r>
      <w:r>
        <w:rPr>
          <w:rFonts w:hint="eastAsia" w:ascii="仿宋_GB2312" w:hAnsi="仿宋_GB2312" w:eastAsia="仿宋_GB2312" w:cs="仿宋_GB2312"/>
          <w:color w:val="000000"/>
          <w:sz w:val="28"/>
          <w:szCs w:val="28"/>
          <w:lang w:eastAsia="zh-CN"/>
        </w:rPr>
        <w:t>甲乙</w:t>
      </w:r>
      <w:r>
        <w:rPr>
          <w:rFonts w:hint="eastAsia" w:ascii="仿宋_GB2312" w:hAnsi="仿宋_GB2312" w:eastAsia="仿宋_GB2312" w:cs="仿宋_GB2312"/>
          <w:color w:val="000000"/>
          <w:sz w:val="28"/>
          <w:szCs w:val="28"/>
        </w:rPr>
        <w:t>双方协商一致，签订本合同。</w:t>
      </w:r>
    </w:p>
    <w:p w14:paraId="3A4E7DE8">
      <w:pPr>
        <w:keepNext w:val="0"/>
        <w:keepLines w:val="0"/>
        <w:pageBreakBefore w:val="0"/>
        <w:kinsoku/>
        <w:wordWrap/>
        <w:overflowPunct/>
        <w:topLinePunct w:val="0"/>
        <w:autoSpaceDE/>
        <w:autoSpaceDN/>
        <w:bidi w:val="0"/>
        <w:adjustRightInd w:val="0"/>
        <w:snapToGrid w:val="0"/>
        <w:spacing w:after="0" w:line="520" w:lineRule="exact"/>
        <w:ind w:left="0" w:firstLine="562" w:firstLineChars="20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一、合同范围、价格及工期。</w:t>
      </w:r>
    </w:p>
    <w:p w14:paraId="56672EB6">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default" w:ascii="仿宋_GB2312" w:hAnsi="仿宋_GB2312" w:eastAsia="仿宋_GB2312" w:cs="仿宋_GB2312"/>
          <w:color w:val="000000"/>
          <w:sz w:val="28"/>
          <w:szCs w:val="28"/>
          <w:lang w:val="en-US" w:eastAsia="zh-CN"/>
        </w:rPr>
      </w:pPr>
      <w:bookmarkStart w:id="145" w:name="_Toc521503304"/>
      <w:bookmarkStart w:id="146" w:name="_Toc507025404"/>
      <w:r>
        <w:rPr>
          <w:rFonts w:hint="eastAsia" w:ascii="仿宋_GB2312" w:hAnsi="仿宋_GB2312" w:eastAsia="仿宋_GB2312" w:cs="仿宋_GB2312"/>
          <w:color w:val="000000"/>
          <w:sz w:val="28"/>
          <w:szCs w:val="28"/>
        </w:rPr>
        <w:t>1</w:t>
      </w:r>
      <w:bookmarkEnd w:id="145"/>
      <w:bookmarkEnd w:id="146"/>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乙方负责皮重计量自助打印改造相关事宜</w:t>
      </w:r>
      <w:r>
        <w:rPr>
          <w:rFonts w:hint="eastAsia" w:ascii="仿宋_GB2312" w:hAnsi="仿宋_GB2312" w:eastAsia="仿宋_GB2312" w:cs="仿宋_GB2312"/>
          <w:color w:val="000000"/>
          <w:sz w:val="28"/>
          <w:szCs w:val="28"/>
          <w:lang w:val="zh-CN" w:eastAsia="zh-CN"/>
        </w:rPr>
        <w:t>，</w:t>
      </w:r>
      <w:r>
        <w:rPr>
          <w:rFonts w:hint="eastAsia" w:ascii="仿宋_GB2312" w:hAnsi="仿宋_GB2312" w:eastAsia="仿宋_GB2312" w:cs="仿宋_GB2312"/>
          <w:color w:val="000000"/>
          <w:sz w:val="28"/>
          <w:szCs w:val="28"/>
          <w:lang w:val="en-US" w:eastAsia="zh-CN"/>
        </w:rPr>
        <w:t>具体内容见详单。</w:t>
      </w:r>
    </w:p>
    <w:p w14:paraId="2AC207BC">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2.价格：</w:t>
      </w:r>
      <w:r>
        <w:rPr>
          <w:rFonts w:hint="eastAsia" w:ascii="仿宋_GB2312" w:hAnsi="仿宋_GB2312" w:eastAsia="仿宋_GB2312" w:cs="仿宋_GB2312"/>
          <w:color w:val="000000"/>
          <w:sz w:val="28"/>
          <w:szCs w:val="28"/>
          <w:lang w:eastAsia="zh-CN"/>
        </w:rPr>
        <w:t>费</w:t>
      </w:r>
      <w:r>
        <w:rPr>
          <w:rFonts w:hint="eastAsia" w:ascii="仿宋_GB2312" w:hAnsi="仿宋_GB2312" w:eastAsia="仿宋_GB2312" w:cs="仿宋_GB2312"/>
          <w:b w:val="0"/>
          <w:bCs w:val="0"/>
          <w:color w:val="000000"/>
          <w:sz w:val="28"/>
          <w:szCs w:val="28"/>
          <w:lang w:eastAsia="zh-CN"/>
        </w:rPr>
        <w:t>用</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28"/>
          <w:szCs w:val="28"/>
          <w:highlight w:val="green"/>
          <w:u w:val="single"/>
          <w:lang w:val="en-US" w:eastAsia="zh-CN"/>
        </w:rPr>
        <w:t>含税***%</w:t>
      </w:r>
      <w:r>
        <w:rPr>
          <w:rFonts w:hint="eastAsia" w:ascii="仿宋_GB2312" w:hAnsi="仿宋_GB2312" w:eastAsia="仿宋_GB2312" w:cs="仿宋_GB2312"/>
          <w:b w:val="0"/>
          <w:bCs w:val="0"/>
          <w:color w:val="000000"/>
          <w:sz w:val="28"/>
          <w:szCs w:val="28"/>
          <w:u w:val="single"/>
          <w:lang w:val="en-US" w:eastAsia="zh-CN"/>
        </w:rPr>
        <w:t>）大写***元整</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价格包括</w:t>
      </w:r>
      <w:r>
        <w:rPr>
          <w:rFonts w:hint="eastAsia" w:ascii="仿宋_GB2312" w:hAnsi="仿宋_GB2312" w:eastAsia="仿宋_GB2312" w:cs="仿宋_GB2312"/>
          <w:b w:val="0"/>
          <w:bCs w:val="0"/>
          <w:color w:val="000000"/>
          <w:sz w:val="28"/>
          <w:szCs w:val="28"/>
          <w:lang w:val="en-US" w:eastAsia="zh-CN"/>
        </w:rPr>
        <w:t>设备新增、改造、移机费、</w:t>
      </w:r>
      <w:r>
        <w:rPr>
          <w:rFonts w:hint="eastAsia" w:ascii="仿宋_GB2312" w:hAnsi="仿宋_GB2312" w:eastAsia="仿宋_GB2312" w:cs="仿宋_GB2312"/>
          <w:b w:val="0"/>
          <w:bCs w:val="0"/>
          <w:color w:val="000000"/>
          <w:sz w:val="28"/>
          <w:szCs w:val="28"/>
        </w:rPr>
        <w:t>材料费、设备费、人工费等</w:t>
      </w:r>
      <w:r>
        <w:rPr>
          <w:rFonts w:hint="eastAsia" w:ascii="仿宋_GB2312" w:hAnsi="仿宋_GB2312" w:eastAsia="仿宋_GB2312" w:cs="仿宋_GB2312"/>
          <w:b w:val="0"/>
          <w:bCs w:val="0"/>
          <w:color w:val="000000"/>
          <w:sz w:val="28"/>
          <w:szCs w:val="28"/>
          <w:lang w:eastAsia="zh-CN"/>
        </w:rPr>
        <w:t>全部</w:t>
      </w:r>
      <w:r>
        <w:rPr>
          <w:rFonts w:hint="eastAsia" w:ascii="仿宋_GB2312" w:hAnsi="仿宋_GB2312" w:eastAsia="仿宋_GB2312" w:cs="仿宋_GB2312"/>
          <w:b w:val="0"/>
          <w:bCs w:val="0"/>
          <w:color w:val="000000"/>
          <w:sz w:val="28"/>
          <w:szCs w:val="28"/>
        </w:rPr>
        <w:t>费用</w:t>
      </w:r>
      <w:r>
        <w:rPr>
          <w:rFonts w:hint="eastAsia" w:ascii="仿宋_GB2312" w:hAnsi="仿宋_GB2312" w:eastAsia="仿宋_GB2312" w:cs="仿宋_GB2312"/>
          <w:b w:val="0"/>
          <w:bCs w:val="0"/>
          <w:color w:val="000000"/>
          <w:sz w:val="28"/>
          <w:szCs w:val="28"/>
          <w:lang w:val="en-US" w:eastAsia="zh-CN"/>
        </w:rPr>
        <w:t>。</w:t>
      </w:r>
    </w:p>
    <w:p w14:paraId="22C39CA5">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仿宋_GB2312" w:eastAsia="仿宋_GB2312" w:cs="仿宋_GB2312"/>
          <w:color w:val="000000"/>
          <w:sz w:val="28"/>
          <w:szCs w:val="28"/>
          <w:highlight w:val="none"/>
          <w:lang w:val="zh-CN"/>
        </w:rPr>
      </w:pPr>
      <w:bookmarkStart w:id="147" w:name="_Toc507025405"/>
      <w:bookmarkStart w:id="148" w:name="_Toc521503305"/>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zh-CN"/>
        </w:rPr>
        <w:t>、承包方式：</w:t>
      </w:r>
      <w:r>
        <w:rPr>
          <w:rFonts w:hint="eastAsia" w:ascii="仿宋_GB2312" w:hAnsi="仿宋_GB2312" w:eastAsia="仿宋_GB2312" w:cs="仿宋_GB2312"/>
          <w:color w:val="000000"/>
          <w:sz w:val="28"/>
          <w:szCs w:val="28"/>
          <w:lang w:val="en-US" w:eastAsia="zh-CN"/>
        </w:rPr>
        <w:t>总价包干</w:t>
      </w:r>
      <w:r>
        <w:rPr>
          <w:rFonts w:hint="eastAsia" w:ascii="仿宋_GB2312" w:hAnsi="仿宋_GB2312" w:eastAsia="仿宋_GB2312" w:cs="仿宋_GB2312"/>
          <w:color w:val="000000"/>
          <w:sz w:val="28"/>
          <w:szCs w:val="28"/>
          <w:lang w:val="zh-CN"/>
        </w:rPr>
        <w:t>。</w:t>
      </w:r>
    </w:p>
    <w:p w14:paraId="4382CDA5">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lang w:val="en-US" w:eastAsia="zh-CN"/>
        </w:rPr>
        <w:t>4</w:t>
      </w:r>
      <w:r>
        <w:rPr>
          <w:rFonts w:hint="eastAsia" w:ascii="仿宋_GB2312" w:eastAsia="仿宋_GB2312" w:cs="仿宋"/>
          <w:sz w:val="28"/>
          <w:szCs w:val="28"/>
          <w:lang w:eastAsia="zh-CN"/>
        </w:rPr>
        <w:t>、</w:t>
      </w:r>
      <w:r>
        <w:rPr>
          <w:rFonts w:hint="eastAsia" w:ascii="仿宋_GB2312" w:eastAsia="仿宋_GB2312" w:cs="仿宋"/>
          <w:sz w:val="28"/>
          <w:szCs w:val="28"/>
        </w:rPr>
        <w:t>合同在履行期间，遇国家税收政策调整，以不含税价格为准。税率调整后，未开增值税发票的货款相应调整，调整后的货款为：</w:t>
      </w:r>
    </w:p>
    <w:p w14:paraId="01113FD5">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未开增值税发票的货款÷(1+原税率)×（1＋新税率）</w:t>
      </w:r>
    </w:p>
    <w:p w14:paraId="2C7104A9">
      <w:pPr>
        <w:keepNext w:val="0"/>
        <w:keepLines w:val="0"/>
        <w:pageBreakBefore w:val="0"/>
        <w:numPr>
          <w:ilvl w:val="0"/>
          <w:numId w:val="0"/>
        </w:numPr>
        <w:kinsoku/>
        <w:wordWrap/>
        <w:overflowPunct/>
        <w:topLinePunct w:val="0"/>
        <w:autoSpaceDE/>
        <w:autoSpaceDN/>
        <w:bidi w:val="0"/>
        <w:adjustRightInd w:val="0"/>
        <w:snapToGrid w:val="0"/>
        <w:spacing w:after="0" w:line="520" w:lineRule="exact"/>
        <w:ind w:left="0" w:leftChars="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lang w:val="en-US" w:eastAsia="zh-CN" w:bidi="en-US"/>
        </w:rPr>
        <w:t>5</w:t>
      </w:r>
      <w:r>
        <w:rPr>
          <w:rFonts w:hint="eastAsia" w:ascii="仿宋_GB2312" w:hAnsi="Cambria" w:eastAsia="仿宋_GB2312" w:cs="仿宋"/>
          <w:sz w:val="28"/>
          <w:szCs w:val="28"/>
          <w:lang w:val="en-US" w:eastAsia="en-US" w:bidi="en-US"/>
        </w:rPr>
        <w:t>、</w:t>
      </w:r>
      <w:r>
        <w:rPr>
          <w:rFonts w:hint="eastAsia" w:ascii="仿宋_GB2312" w:eastAsia="仿宋_GB2312" w:cs="仿宋"/>
          <w:sz w:val="28"/>
          <w:szCs w:val="28"/>
        </w:rPr>
        <w:t>本合同计价货币、结算货币和支付货币为人民币。</w:t>
      </w:r>
    </w:p>
    <w:p w14:paraId="1941D3BF">
      <w:pPr>
        <w:keepNext w:val="0"/>
        <w:keepLines w:val="0"/>
        <w:pageBreakBefore w:val="0"/>
        <w:numPr>
          <w:ilvl w:val="0"/>
          <w:numId w:val="0"/>
        </w:numPr>
        <w:kinsoku/>
        <w:wordWrap/>
        <w:overflowPunct/>
        <w:topLinePunct w:val="0"/>
        <w:autoSpaceDE/>
        <w:autoSpaceDN/>
        <w:bidi w:val="0"/>
        <w:adjustRightInd w:val="0"/>
        <w:snapToGrid w:val="0"/>
        <w:spacing w:after="0" w:line="520" w:lineRule="exact"/>
        <w:ind w:left="0" w:leftChars="0" w:firstLine="560" w:firstLineChars="200"/>
        <w:textAlignment w:val="auto"/>
        <w:rPr>
          <w:rFonts w:hint="eastAsia" w:ascii="仿宋_GB2312" w:eastAsia="仿宋_GB2312" w:cs="仿宋"/>
          <w:sz w:val="28"/>
          <w:szCs w:val="28"/>
          <w:lang w:val="en-US" w:eastAsia="zh-CN"/>
        </w:rPr>
      </w:pPr>
      <w:r>
        <w:rPr>
          <w:rFonts w:hint="eastAsia" w:ascii="仿宋_GB2312" w:eastAsia="仿宋_GB2312" w:cs="仿宋"/>
          <w:sz w:val="28"/>
          <w:szCs w:val="28"/>
          <w:lang w:val="en-US" w:eastAsia="zh-CN" w:bidi="en-US"/>
        </w:rPr>
        <w:t>6</w:t>
      </w:r>
      <w:r>
        <w:rPr>
          <w:rFonts w:hint="eastAsia" w:ascii="仿宋_GB2312" w:hAnsi="Cambria" w:eastAsia="仿宋_GB2312" w:cs="仿宋"/>
          <w:sz w:val="28"/>
          <w:szCs w:val="28"/>
          <w:lang w:val="en-US" w:eastAsia="en-US" w:bidi="en-US"/>
        </w:rPr>
        <w:t>、</w:t>
      </w:r>
      <w:r>
        <w:rPr>
          <w:rFonts w:hint="eastAsia" w:ascii="仿宋_GB2312" w:eastAsia="仿宋_GB2312" w:cs="仿宋"/>
          <w:sz w:val="28"/>
          <w:szCs w:val="28"/>
          <w:lang w:val="en-US" w:eastAsia="zh-CN" w:bidi="en-US"/>
        </w:rPr>
        <w:t>工</w:t>
      </w:r>
      <w:r>
        <w:rPr>
          <w:rFonts w:hint="eastAsia" w:ascii="仿宋_GB2312" w:eastAsia="仿宋_GB2312" w:cs="仿宋"/>
          <w:sz w:val="28"/>
          <w:szCs w:val="28"/>
          <w:lang w:eastAsia="zh-CN"/>
        </w:rPr>
        <w:t>期：</w:t>
      </w:r>
      <w:r>
        <w:rPr>
          <w:rFonts w:hint="eastAsia" w:ascii="仿宋_GB2312" w:eastAsia="仿宋_GB2312" w:cs="仿宋"/>
          <w:sz w:val="28"/>
          <w:szCs w:val="28"/>
          <w:lang w:val="en-US" w:eastAsia="zh-CN"/>
        </w:rPr>
        <w:t>不大于</w:t>
      </w:r>
      <w:r>
        <w:rPr>
          <w:rFonts w:hint="eastAsia" w:ascii="仿宋_GB2312" w:eastAsia="仿宋_GB2312" w:cs="仿宋"/>
          <w:b/>
          <w:bCs/>
          <w:sz w:val="28"/>
          <w:szCs w:val="28"/>
          <w:lang w:val="en-US" w:eastAsia="zh-CN"/>
        </w:rPr>
        <w:t>***</w:t>
      </w:r>
      <w:r>
        <w:rPr>
          <w:rFonts w:hint="eastAsia" w:ascii="仿宋_GB2312" w:eastAsia="仿宋_GB2312" w:cs="仿宋"/>
          <w:sz w:val="28"/>
          <w:szCs w:val="28"/>
          <w:lang w:val="en-US" w:eastAsia="zh-CN"/>
        </w:rPr>
        <w:t>日历天。</w:t>
      </w:r>
    </w:p>
    <w:p w14:paraId="7E2BF9E9">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default" w:ascii="仿宋_GB2312" w:eastAsia="仿宋_GB2312" w:cs="仿宋"/>
          <w:sz w:val="28"/>
          <w:szCs w:val="28"/>
          <w:lang w:val="en-US" w:eastAsia="zh-CN"/>
        </w:rPr>
      </w:pPr>
      <w:r>
        <w:rPr>
          <w:rFonts w:hint="eastAsia" w:ascii="仿宋_GB2312" w:eastAsia="仿宋_GB2312" w:cs="仿宋"/>
          <w:sz w:val="28"/>
          <w:szCs w:val="28"/>
          <w:lang w:val="en-US" w:eastAsia="zh-CN"/>
        </w:rPr>
        <w:t>7、服务范围（依据最终招评标确定）</w:t>
      </w:r>
    </w:p>
    <w:tbl>
      <w:tblPr>
        <w:tblStyle w:val="46"/>
        <w:tblW w:w="85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1220"/>
        <w:gridCol w:w="5010"/>
        <w:gridCol w:w="760"/>
        <w:gridCol w:w="781"/>
      </w:tblGrid>
      <w:tr w14:paraId="54DB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6B6CD3E2">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FF83110">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项目</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3E6FAD1A">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内容</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71B23DB">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3575">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b/>
                <w:bCs/>
                <w:i w:val="0"/>
                <w:iCs w:val="0"/>
                <w:color w:val="auto"/>
                <w:sz w:val="24"/>
                <w:szCs w:val="24"/>
                <w:highlight w:val="none"/>
                <w:u w:val="no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数量</w:t>
            </w:r>
          </w:p>
        </w:tc>
      </w:tr>
      <w:tr w14:paraId="4D2F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7F66906">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E0A8C35">
            <w:pPr>
              <w:widowControl/>
              <w:jc w:val="center"/>
              <w:rPr>
                <w:rFonts w:hint="eastAsia" w:ascii="仿宋_GB2312" w:hAnsi="仿宋_GB2312" w:eastAsia="仿宋_GB2312" w:cs="仿宋_GB2312"/>
                <w:i w:val="0"/>
                <w:iCs w:val="0"/>
                <w:color w:val="auto"/>
                <w:sz w:val="24"/>
                <w:szCs w:val="24"/>
                <w:highlight w:val="none"/>
                <w:u w:val="none"/>
              </w:rPr>
            </w:pP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6298176C">
            <w:pPr>
              <w:widowControl/>
              <w:jc w:val="center"/>
              <w:rPr>
                <w:rFonts w:hint="eastAsia" w:ascii="仿宋_GB2312" w:hAnsi="仿宋_GB2312" w:eastAsia="仿宋_GB2312" w:cs="仿宋_GB2312"/>
                <w:i w:val="0"/>
                <w:iCs w:val="0"/>
                <w:color w:val="auto"/>
                <w:sz w:val="24"/>
                <w:szCs w:val="24"/>
                <w:highlight w:val="none"/>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5E47B27">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sz w:val="24"/>
                <w:szCs w:val="24"/>
                <w:highlight w:val="none"/>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C5075">
            <w:pPr>
              <w:widowControl/>
              <w:jc w:val="center"/>
              <w:rPr>
                <w:rFonts w:hint="eastAsia" w:ascii="仿宋_GB2312" w:hAnsi="仿宋_GB2312" w:eastAsia="仿宋_GB2312" w:cs="仿宋_GB2312"/>
                <w:i w:val="0"/>
                <w:iCs w:val="0"/>
                <w:color w:val="auto"/>
                <w:sz w:val="24"/>
                <w:szCs w:val="24"/>
                <w:highlight w:val="none"/>
                <w:u w:val="none"/>
                <w:lang w:val="en-US" w:eastAsia="zh-CN" w:bidi="ar-SA"/>
              </w:rPr>
            </w:pPr>
          </w:p>
        </w:tc>
      </w:tr>
      <w:tr w14:paraId="0D56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6DC17A14">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CD7964F">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5F76879A">
            <w:pPr>
              <w:widowControl/>
              <w:jc w:val="center"/>
              <w:rPr>
                <w:rFonts w:hint="default" w:ascii="仿宋_GB2312" w:hAnsi="仿宋_GB2312" w:eastAsia="仿宋_GB2312" w:cs="仿宋_GB2312"/>
                <w:i w:val="0"/>
                <w:iCs w:val="0"/>
                <w:color w:val="auto"/>
                <w:sz w:val="24"/>
                <w:szCs w:val="24"/>
                <w:highlight w:val="none"/>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4E35969">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7FF59">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29DF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627FC12D">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2E30DED">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1F90A52A">
            <w:pPr>
              <w:widowControl/>
              <w:jc w:val="center"/>
              <w:rPr>
                <w:rFonts w:hint="eastAsia" w:ascii="仿宋_GB2312" w:hAnsi="仿宋_GB2312" w:eastAsia="仿宋_GB2312" w:cs="仿宋_GB2312"/>
                <w:i w:val="0"/>
                <w:iCs w:val="0"/>
                <w:color w:val="auto"/>
                <w:sz w:val="24"/>
                <w:szCs w:val="24"/>
                <w:highlight w:val="none"/>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57F6239">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194E">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7562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2146D2B">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50D9125">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3E9B05D9">
            <w:pPr>
              <w:widowControl/>
              <w:jc w:val="center"/>
              <w:rPr>
                <w:rFonts w:hint="eastAsia" w:ascii="仿宋_GB2312" w:hAnsi="仿宋_GB2312" w:eastAsia="仿宋_GB2312" w:cs="仿宋_GB2312"/>
                <w:i w:val="0"/>
                <w:iCs w:val="0"/>
                <w:color w:val="auto"/>
                <w:sz w:val="24"/>
                <w:szCs w:val="24"/>
                <w:highlight w:val="none"/>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2E40B2A">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DFFB0">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2662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4DA9E58">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4F9364C">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2A54D94F">
            <w:pPr>
              <w:widowControl/>
              <w:jc w:val="center"/>
              <w:rPr>
                <w:rFonts w:hint="eastAsia" w:ascii="仿宋_GB2312" w:hAnsi="仿宋_GB2312" w:eastAsia="仿宋_GB2312" w:cs="仿宋_GB2312"/>
                <w:i w:val="0"/>
                <w:iCs w:val="0"/>
                <w:color w:val="auto"/>
                <w:sz w:val="24"/>
                <w:szCs w:val="24"/>
                <w:highlight w:val="none"/>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2D0D933">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3B6C1">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21CE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E661FE7">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19ED1D6">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5010" w:type="dxa"/>
            <w:tcBorders>
              <w:top w:val="single" w:color="000000" w:sz="4" w:space="0"/>
              <w:left w:val="single" w:color="000000" w:sz="4" w:space="0"/>
              <w:bottom w:val="single" w:color="000000" w:sz="4" w:space="0"/>
              <w:right w:val="single" w:color="000000" w:sz="4" w:space="0"/>
            </w:tcBorders>
            <w:noWrap w:val="0"/>
            <w:vAlign w:val="center"/>
          </w:tcPr>
          <w:p w14:paraId="0E95B02F">
            <w:pPr>
              <w:widowControl/>
              <w:jc w:val="center"/>
              <w:rPr>
                <w:rFonts w:hint="eastAsia" w:ascii="仿宋_GB2312" w:hAnsi="仿宋_GB2312" w:eastAsia="仿宋_GB2312" w:cs="仿宋_GB2312"/>
                <w:i w:val="0"/>
                <w:iCs w:val="0"/>
                <w:color w:val="auto"/>
                <w:sz w:val="24"/>
                <w:szCs w:val="24"/>
                <w:highlight w:val="none"/>
                <w:u w:val="none"/>
                <w:lang w:val="en-US" w:eastAsia="zh-CN"/>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4FF67E0">
            <w:pPr>
              <w:keepNext w:val="0"/>
              <w:keepLines w:val="0"/>
              <w:pageBreakBefore w:val="0"/>
              <w:widowControl/>
              <w:suppressLineNumbers w:val="0"/>
              <w:kinsoku/>
              <w:wordWrap/>
              <w:overflowPunct/>
              <w:topLinePunct w:val="0"/>
              <w:bidi w:val="0"/>
              <w:spacing w:line="52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DE00E">
            <w:pPr>
              <w:widowControl/>
              <w:jc w:val="center"/>
              <w:rPr>
                <w:rFonts w:hint="eastAsia" w:ascii="仿宋_GB2312" w:hAnsi="仿宋_GB2312" w:eastAsia="仿宋_GB2312" w:cs="仿宋_GB2312"/>
                <w:i w:val="0"/>
                <w:iCs w:val="0"/>
                <w:color w:val="auto"/>
                <w:kern w:val="0"/>
                <w:sz w:val="24"/>
                <w:szCs w:val="24"/>
                <w:highlight w:val="none"/>
                <w:u w:val="none"/>
                <w:lang w:val="en-US" w:eastAsia="zh-CN" w:bidi="ar"/>
              </w:rPr>
            </w:pPr>
          </w:p>
        </w:tc>
      </w:tr>
      <w:tr w14:paraId="39DE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557" w:type="dxa"/>
            <w:gridSpan w:val="5"/>
            <w:tcBorders>
              <w:top w:val="single" w:color="000000" w:sz="4" w:space="0"/>
              <w:left w:val="single" w:color="000000" w:sz="4" w:space="0"/>
              <w:bottom w:val="single" w:color="000000" w:sz="4" w:space="0"/>
              <w:right w:val="single" w:color="000000" w:sz="4" w:space="0"/>
            </w:tcBorders>
            <w:noWrap w:val="0"/>
            <w:vAlign w:val="center"/>
          </w:tcPr>
          <w:p w14:paraId="5754F62D">
            <w:pPr>
              <w:widowControl/>
              <w:tabs>
                <w:tab w:val="left" w:pos="718"/>
              </w:tabs>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注：</w:t>
            </w:r>
          </w:p>
        </w:tc>
      </w:tr>
    </w:tbl>
    <w:p w14:paraId="425A9FE1">
      <w:pPr>
        <w:pStyle w:val="59"/>
        <w:keepNext w:val="0"/>
        <w:keepLines w:val="0"/>
        <w:pageBreakBefore w:val="0"/>
        <w:kinsoku/>
        <w:wordWrap/>
        <w:overflowPunct/>
        <w:topLinePunct w:val="0"/>
        <w:autoSpaceDE/>
        <w:autoSpaceDN/>
        <w:bidi w:val="0"/>
        <w:adjustRightInd w:val="0"/>
        <w:snapToGrid w:val="0"/>
        <w:spacing w:after="0" w:line="520" w:lineRule="exact"/>
        <w:ind w:left="0" w:firstLine="562" w:firstLineChars="200"/>
        <w:textAlignment w:val="auto"/>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二、质保期、验收及售后服务：</w:t>
      </w:r>
    </w:p>
    <w:p w14:paraId="060866E8">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1．质保期：***个月。质量保证期内本合同项下标的物出现任何质量问题，乙方必须重新提供免费更换或维修，且质保期从维修完正常运行开始顺延，维修期间不计算在质保期内。</w:t>
      </w:r>
    </w:p>
    <w:p w14:paraId="3B78C490">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2.本产品的保修以厂商所提供的用户手册或说明书为准，乙方向甲方提供修复服务。在保修期间，乙方对正常工作下的故障予以免费更换或修复，而甲方亦有责任保持设备在规定的环境指标（包括温度、湿度、等）内放置及操作。</w:t>
      </w:r>
    </w:p>
    <w:p w14:paraId="7CEB6B45">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3. 在质量保证期内，如发现乙方提供的合同产品发生故障或出现缺陷，乙方将按照下列方式提供服务：</w:t>
      </w:r>
    </w:p>
    <w:tbl>
      <w:tblPr>
        <w:tblStyle w:val="46"/>
        <w:tblW w:w="0" w:type="auto"/>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780"/>
        <w:gridCol w:w="4793"/>
      </w:tblGrid>
      <w:tr w14:paraId="79688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30" w:hRule="exact"/>
        </w:trPr>
        <w:tc>
          <w:tcPr>
            <w:tcW w:w="3780" w:type="dxa"/>
            <w:noWrap w:val="0"/>
            <w:tcMar>
              <w:left w:w="0" w:type="dxa"/>
              <w:right w:w="0" w:type="dxa"/>
            </w:tcMar>
            <w:vAlign w:val="top"/>
          </w:tcPr>
          <w:p w14:paraId="62A4768A">
            <w:pPr>
              <w:spacing w:line="360" w:lineRule="auto"/>
              <w:ind w:left="1398"/>
              <w:rPr>
                <w:rFonts w:hint="eastAsia"/>
                <w:sz w:val="24"/>
                <w:szCs w:val="24"/>
                <w:highlight w:val="yellow"/>
              </w:rPr>
            </w:pPr>
            <w:r>
              <w:rPr>
                <w:rFonts w:hint="eastAsia"/>
                <w:sz w:val="24"/>
                <w:szCs w:val="24"/>
                <w:highlight w:val="yellow"/>
              </w:rPr>
              <w:t>故障类型</w:t>
            </w:r>
          </w:p>
        </w:tc>
        <w:tc>
          <w:tcPr>
            <w:tcW w:w="4793" w:type="dxa"/>
            <w:noWrap w:val="0"/>
            <w:tcMar>
              <w:left w:w="0" w:type="dxa"/>
              <w:right w:w="0" w:type="dxa"/>
            </w:tcMar>
            <w:vAlign w:val="top"/>
          </w:tcPr>
          <w:p w14:paraId="10B28098">
            <w:pPr>
              <w:spacing w:line="360" w:lineRule="auto"/>
              <w:ind w:left="1904"/>
              <w:rPr>
                <w:rFonts w:hint="eastAsia"/>
                <w:sz w:val="24"/>
                <w:szCs w:val="24"/>
                <w:highlight w:val="yellow"/>
              </w:rPr>
            </w:pPr>
            <w:r>
              <w:rPr>
                <w:rFonts w:hint="eastAsia"/>
                <w:sz w:val="24"/>
                <w:szCs w:val="24"/>
                <w:highlight w:val="yellow"/>
              </w:rPr>
              <w:t>服务要求</w:t>
            </w:r>
          </w:p>
        </w:tc>
      </w:tr>
      <w:tr w14:paraId="7E15D4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7" w:hRule="exact"/>
        </w:trPr>
        <w:tc>
          <w:tcPr>
            <w:tcW w:w="3780" w:type="dxa"/>
            <w:noWrap w:val="0"/>
            <w:tcMar>
              <w:left w:w="0" w:type="dxa"/>
              <w:right w:w="0" w:type="dxa"/>
            </w:tcMar>
            <w:vAlign w:val="top"/>
          </w:tcPr>
          <w:p w14:paraId="63CE2AA2">
            <w:pPr>
              <w:spacing w:line="360" w:lineRule="auto"/>
              <w:ind w:left="798"/>
              <w:rPr>
                <w:rFonts w:hint="eastAsia" w:eastAsia="宋体"/>
                <w:sz w:val="24"/>
                <w:szCs w:val="24"/>
                <w:highlight w:val="yellow"/>
                <w:lang w:eastAsia="zh-CN"/>
              </w:rPr>
            </w:pPr>
            <w:r>
              <w:rPr>
                <w:rFonts w:hint="eastAsia"/>
                <w:sz w:val="24"/>
                <w:szCs w:val="24"/>
                <w:highlight w:val="yellow"/>
              </w:rPr>
              <w:t>系统瘫痪、无法</w:t>
            </w:r>
            <w:r>
              <w:rPr>
                <w:rFonts w:hint="eastAsia"/>
                <w:sz w:val="24"/>
                <w:szCs w:val="24"/>
                <w:highlight w:val="yellow"/>
                <w:lang w:val="en-US" w:eastAsia="zh-CN"/>
              </w:rPr>
              <w:t>使用</w:t>
            </w:r>
          </w:p>
        </w:tc>
        <w:tc>
          <w:tcPr>
            <w:tcW w:w="4793" w:type="dxa"/>
            <w:noWrap w:val="0"/>
            <w:tcMar>
              <w:left w:w="0" w:type="dxa"/>
              <w:right w:w="0" w:type="dxa"/>
            </w:tcMar>
            <w:vAlign w:val="top"/>
          </w:tcPr>
          <w:p w14:paraId="2D2320DF">
            <w:pPr>
              <w:spacing w:line="360" w:lineRule="auto"/>
              <w:ind w:left="108"/>
              <w:rPr>
                <w:rFonts w:hint="eastAsia"/>
                <w:sz w:val="24"/>
                <w:szCs w:val="24"/>
                <w:highlight w:val="yellow"/>
              </w:rPr>
            </w:pPr>
            <w:r>
              <w:rPr>
                <w:rFonts w:hint="eastAsia"/>
                <w:sz w:val="24"/>
                <w:szCs w:val="24"/>
                <w:highlight w:val="yellow"/>
              </w:rPr>
              <w:t>立即远程支持、</w:t>
            </w:r>
            <w:r>
              <w:rPr>
                <w:rFonts w:hint="eastAsia"/>
                <w:sz w:val="24"/>
                <w:szCs w:val="24"/>
                <w:highlight w:val="yellow"/>
                <w:lang w:val="en-US" w:eastAsia="zh-CN"/>
              </w:rPr>
              <w:t>3</w:t>
            </w:r>
            <w:r>
              <w:rPr>
                <w:rFonts w:hint="eastAsia"/>
                <w:sz w:val="24"/>
                <w:szCs w:val="24"/>
                <w:highlight w:val="yellow"/>
              </w:rPr>
              <w:t>小时内现场处理</w:t>
            </w:r>
          </w:p>
        </w:tc>
      </w:tr>
      <w:tr w14:paraId="38F569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3" w:hRule="exact"/>
        </w:trPr>
        <w:tc>
          <w:tcPr>
            <w:tcW w:w="3780" w:type="dxa"/>
            <w:noWrap w:val="0"/>
            <w:tcMar>
              <w:left w:w="0" w:type="dxa"/>
              <w:right w:w="0" w:type="dxa"/>
            </w:tcMar>
            <w:vAlign w:val="top"/>
          </w:tcPr>
          <w:p w14:paraId="3B80879D">
            <w:pPr>
              <w:spacing w:line="360" w:lineRule="auto"/>
              <w:ind w:left="198"/>
              <w:rPr>
                <w:rFonts w:hint="eastAsia"/>
                <w:sz w:val="24"/>
                <w:szCs w:val="24"/>
                <w:highlight w:val="yellow"/>
              </w:rPr>
            </w:pPr>
            <w:r>
              <w:rPr>
                <w:rFonts w:hint="eastAsia"/>
                <w:sz w:val="24"/>
                <w:szCs w:val="24"/>
                <w:highlight w:val="yellow"/>
              </w:rPr>
              <w:t>系统严重故障、重要服务不正常</w:t>
            </w:r>
          </w:p>
        </w:tc>
        <w:tc>
          <w:tcPr>
            <w:tcW w:w="4793" w:type="dxa"/>
            <w:noWrap w:val="0"/>
            <w:tcMar>
              <w:left w:w="0" w:type="dxa"/>
              <w:right w:w="0" w:type="dxa"/>
            </w:tcMar>
            <w:vAlign w:val="top"/>
          </w:tcPr>
          <w:p w14:paraId="438333D8">
            <w:pPr>
              <w:spacing w:line="360" w:lineRule="auto"/>
              <w:ind w:left="108"/>
              <w:rPr>
                <w:rFonts w:hint="eastAsia"/>
                <w:sz w:val="24"/>
                <w:szCs w:val="24"/>
                <w:highlight w:val="yellow"/>
              </w:rPr>
            </w:pPr>
            <w:r>
              <w:rPr>
                <w:rFonts w:hint="eastAsia"/>
                <w:sz w:val="24"/>
                <w:szCs w:val="24"/>
                <w:highlight w:val="yellow"/>
              </w:rPr>
              <w:t>30分钟内远程支持、</w:t>
            </w:r>
            <w:r>
              <w:rPr>
                <w:rFonts w:hint="eastAsia"/>
                <w:sz w:val="24"/>
                <w:szCs w:val="24"/>
                <w:highlight w:val="yellow"/>
                <w:lang w:val="en-US" w:eastAsia="zh-CN"/>
              </w:rPr>
              <w:t>8</w:t>
            </w:r>
            <w:r>
              <w:rPr>
                <w:rFonts w:hint="eastAsia"/>
                <w:sz w:val="24"/>
                <w:szCs w:val="24"/>
                <w:highlight w:val="yellow"/>
              </w:rPr>
              <w:t>小时内现场处理</w:t>
            </w:r>
          </w:p>
        </w:tc>
      </w:tr>
      <w:tr w14:paraId="7BF2AE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exact"/>
        </w:trPr>
        <w:tc>
          <w:tcPr>
            <w:tcW w:w="3780" w:type="dxa"/>
            <w:noWrap w:val="0"/>
            <w:tcMar>
              <w:left w:w="0" w:type="dxa"/>
              <w:right w:w="0" w:type="dxa"/>
            </w:tcMar>
            <w:vAlign w:val="top"/>
          </w:tcPr>
          <w:p w14:paraId="29CDDDA3">
            <w:pPr>
              <w:spacing w:line="360" w:lineRule="auto"/>
              <w:ind w:left="198"/>
              <w:rPr>
                <w:rFonts w:hint="eastAsia"/>
                <w:sz w:val="24"/>
                <w:szCs w:val="24"/>
                <w:highlight w:val="yellow"/>
              </w:rPr>
            </w:pPr>
            <w:r>
              <w:rPr>
                <w:rFonts w:hint="eastAsia"/>
                <w:sz w:val="24"/>
                <w:szCs w:val="24"/>
                <w:highlight w:val="yellow"/>
              </w:rPr>
              <w:t>系统轻微故障、一般服务不正常</w:t>
            </w:r>
          </w:p>
        </w:tc>
        <w:tc>
          <w:tcPr>
            <w:tcW w:w="4793" w:type="dxa"/>
            <w:noWrap w:val="0"/>
            <w:tcMar>
              <w:left w:w="0" w:type="dxa"/>
              <w:right w:w="0" w:type="dxa"/>
            </w:tcMar>
            <w:vAlign w:val="top"/>
          </w:tcPr>
          <w:p w14:paraId="09E38419">
            <w:pPr>
              <w:spacing w:line="360" w:lineRule="auto"/>
              <w:ind w:left="108"/>
              <w:rPr>
                <w:rFonts w:hint="eastAsia"/>
                <w:sz w:val="24"/>
                <w:szCs w:val="24"/>
                <w:highlight w:val="yellow"/>
              </w:rPr>
            </w:pPr>
            <w:r>
              <w:rPr>
                <w:rFonts w:hint="eastAsia"/>
                <w:sz w:val="24"/>
                <w:szCs w:val="24"/>
                <w:highlight w:val="yellow"/>
              </w:rPr>
              <w:t>1小时内远程支持、</w:t>
            </w:r>
            <w:r>
              <w:rPr>
                <w:rFonts w:hint="eastAsia"/>
                <w:sz w:val="24"/>
                <w:szCs w:val="24"/>
                <w:highlight w:val="yellow"/>
                <w:lang w:val="en-US" w:eastAsia="zh-CN"/>
              </w:rPr>
              <w:t>24</w:t>
            </w:r>
            <w:r>
              <w:rPr>
                <w:rFonts w:hint="eastAsia"/>
                <w:sz w:val="24"/>
                <w:szCs w:val="24"/>
                <w:highlight w:val="yellow"/>
              </w:rPr>
              <w:t>小时内现场处理</w:t>
            </w:r>
          </w:p>
        </w:tc>
      </w:tr>
    </w:tbl>
    <w:p w14:paraId="71C5C8F8">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经甲方通知之日起3日内，乙方仍未及时履行维修义务的，甲方可以决定聘请第三方单位进行维修，同时将聘请及维修情况告知乙方。甲方可以将维修费用从应支付给乙方的费用中予以抵扣。</w:t>
      </w:r>
    </w:p>
    <w:p w14:paraId="0EB4DE2A">
      <w:pPr>
        <w:keepNext w:val="0"/>
        <w:keepLines w:val="0"/>
        <w:pageBreakBefore w:val="0"/>
        <w:kinsoku/>
        <w:wordWrap/>
        <w:overflowPunct/>
        <w:topLinePunct w:val="0"/>
        <w:autoSpaceDE/>
        <w:autoSpaceDN/>
        <w:bidi w:val="0"/>
        <w:adjustRightInd w:val="0"/>
        <w:snapToGrid w:val="0"/>
        <w:spacing w:after="0" w:line="520" w:lineRule="exact"/>
        <w:ind w:left="0" w:firstLine="480" w:firstLineChars="200"/>
        <w:textAlignment w:val="auto"/>
        <w:rPr>
          <w:rFonts w:hint="eastAsia" w:ascii="仿宋_GB2312" w:hAnsi="宋体" w:eastAsia="仿宋_GB2312" w:cs="仿宋"/>
          <w:sz w:val="28"/>
          <w:szCs w:val="28"/>
          <w:highlight w:val="yellow"/>
          <w:lang w:val="en-US" w:eastAsia="zh-CN"/>
        </w:rPr>
      </w:pPr>
      <w:r>
        <w:rPr>
          <w:rFonts w:hint="eastAsia" w:ascii="仿宋_GB2312" w:eastAsia="仿宋_GB2312" w:cs="仿宋"/>
          <w:sz w:val="24"/>
          <w:szCs w:val="24"/>
          <w:highlight w:val="yellow"/>
          <w:lang w:val="en-US" w:eastAsia="zh-CN"/>
        </w:rPr>
        <w:t>4</w:t>
      </w:r>
      <w:r>
        <w:rPr>
          <w:rFonts w:hint="eastAsia" w:ascii="仿宋_GB2312" w:hAnsi="宋体" w:eastAsia="仿宋_GB2312" w:cs="仿宋"/>
          <w:sz w:val="28"/>
          <w:szCs w:val="28"/>
          <w:highlight w:val="yellow"/>
          <w:lang w:val="en-US" w:eastAsia="zh-CN"/>
        </w:rPr>
        <w:t>.甲方应当在收到货物之日起3个工作日内进行检验（甲方检验仅包含数量、规格等外观质量，并不以此免除乙方的质量瑕疵责任），发现乙方交付产品质量未达到国家有关标准或甲方书面的质量标准要求的，甲方有权选择要求：</w:t>
      </w:r>
    </w:p>
    <w:p w14:paraId="4B661644">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（1）调换产品；</w:t>
      </w:r>
    </w:p>
    <w:p w14:paraId="4D4266EE">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（2）退货。乙方应承担调换产品或退货的费用并赔偿甲方因此遭受的损失。</w:t>
      </w:r>
    </w:p>
    <w:p w14:paraId="19B3B562">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default" w:ascii="仿宋_GB2312" w:hAnsi="宋体" w:eastAsia="仿宋_GB2312" w:cs="仿宋"/>
          <w:sz w:val="28"/>
          <w:szCs w:val="28"/>
          <w:highlight w:val="yellow"/>
          <w:lang w:val="en-US" w:eastAsia="zh-CN"/>
        </w:rPr>
      </w:pPr>
      <w:r>
        <w:rPr>
          <w:rFonts w:hint="eastAsia" w:ascii="仿宋_GB2312" w:hAnsi="宋体" w:eastAsia="仿宋_GB2312" w:cs="仿宋"/>
          <w:sz w:val="28"/>
          <w:szCs w:val="28"/>
          <w:highlight w:val="yellow"/>
          <w:lang w:val="en-US" w:eastAsia="zh-CN"/>
        </w:rPr>
        <w:t>（3）合同约定的内容乙方无法按期交付，甲方有权单方解除合同。如乙方的工作对甲方造成损失的，</w:t>
      </w:r>
      <w:r>
        <w:rPr>
          <w:rFonts w:hint="eastAsia" w:ascii="仿宋_GB2312" w:eastAsia="仿宋_GB2312" w:cs="仿宋"/>
          <w:sz w:val="28"/>
          <w:szCs w:val="28"/>
          <w:highlight w:val="yellow"/>
        </w:rPr>
        <w:t>乙方需向甲方承担赔偿责任。</w:t>
      </w:r>
    </w:p>
    <w:p w14:paraId="0456CE83">
      <w:pPr>
        <w:pStyle w:val="59"/>
        <w:keepNext w:val="0"/>
        <w:keepLines w:val="0"/>
        <w:pageBreakBefore w:val="0"/>
        <w:kinsoku/>
        <w:wordWrap/>
        <w:overflowPunct/>
        <w:topLinePunct w:val="0"/>
        <w:autoSpaceDE/>
        <w:autoSpaceDN/>
        <w:bidi w:val="0"/>
        <w:adjustRightInd w:val="0"/>
        <w:snapToGrid w:val="0"/>
        <w:spacing w:after="0" w:line="520" w:lineRule="exact"/>
        <w:ind w:left="0"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三、</w:t>
      </w:r>
      <w:r>
        <w:rPr>
          <w:rFonts w:hint="eastAsia" w:ascii="仿宋_GB2312" w:eastAsia="仿宋_GB2312"/>
          <w:b/>
          <w:bCs/>
          <w:sz w:val="28"/>
          <w:szCs w:val="28"/>
        </w:rPr>
        <w:t>支付</w:t>
      </w:r>
    </w:p>
    <w:p w14:paraId="45C11B4D">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highlight w:val="none"/>
        </w:rPr>
      </w:pPr>
      <w:r>
        <w:rPr>
          <w:rFonts w:hint="eastAsia" w:ascii="仿宋_GB2312" w:eastAsia="仿宋_GB2312" w:cs="仿宋"/>
          <w:sz w:val="28"/>
          <w:szCs w:val="28"/>
          <w:highlight w:val="green"/>
        </w:rPr>
        <w:t>1</w:t>
      </w:r>
      <w:r>
        <w:rPr>
          <w:rFonts w:hint="eastAsia" w:ascii="仿宋_GB2312" w:eastAsia="仿宋_GB2312" w:cs="仿宋"/>
          <w:sz w:val="28"/>
          <w:szCs w:val="28"/>
          <w:highlight w:val="green"/>
          <w:lang w:val="en-US" w:eastAsia="zh-CN"/>
        </w:rPr>
        <w:t>.</w:t>
      </w:r>
      <w:r>
        <w:rPr>
          <w:rFonts w:hint="eastAsia" w:ascii="仿宋_GB2312" w:eastAsia="仿宋_GB2312" w:cs="仿宋"/>
          <w:sz w:val="28"/>
          <w:szCs w:val="28"/>
          <w:highlight w:val="green"/>
        </w:rPr>
        <w:t>甲方以</w:t>
      </w:r>
      <w:r>
        <w:rPr>
          <w:rFonts w:hint="eastAsia" w:ascii="仿宋_GB2312" w:eastAsia="仿宋_GB2312" w:cs="仿宋"/>
          <w:b/>
          <w:bCs/>
          <w:sz w:val="28"/>
          <w:szCs w:val="28"/>
          <w:highlight w:val="green"/>
          <w:u w:val="single"/>
          <w:lang w:val="en-US" w:eastAsia="zh-CN"/>
        </w:rPr>
        <w:t>电汇</w:t>
      </w:r>
      <w:r>
        <w:rPr>
          <w:rFonts w:hint="eastAsia" w:ascii="仿宋_GB2312" w:eastAsia="仿宋_GB2312" w:cs="仿宋"/>
          <w:sz w:val="28"/>
          <w:szCs w:val="28"/>
          <w:highlight w:val="green"/>
        </w:rPr>
        <w:t>方式向乙方支付费用</w:t>
      </w:r>
      <w:r>
        <w:rPr>
          <w:rFonts w:hint="eastAsia" w:ascii="仿宋_GB2312" w:eastAsia="仿宋_GB2312" w:cs="仿宋"/>
          <w:sz w:val="28"/>
          <w:szCs w:val="28"/>
          <w:highlight w:val="green"/>
          <w:lang w:eastAsia="zh-CN"/>
        </w:rPr>
        <w:t>；</w:t>
      </w:r>
      <w:r>
        <w:rPr>
          <w:rFonts w:hint="eastAsia" w:ascii="仿宋_GB2312" w:eastAsia="仿宋_GB2312" w:cs="仿宋"/>
          <w:sz w:val="28"/>
          <w:szCs w:val="28"/>
          <w:highlight w:val="green"/>
          <w:lang w:val="en-US" w:eastAsia="zh-CN"/>
        </w:rPr>
        <w:t>系统运行正常，双方</w:t>
      </w:r>
      <w:r>
        <w:rPr>
          <w:rFonts w:hint="eastAsia" w:ascii="仿宋_GB2312" w:eastAsia="仿宋_GB2312" w:cs="仿宋"/>
          <w:sz w:val="28"/>
          <w:szCs w:val="28"/>
          <w:highlight w:val="green"/>
          <w:lang w:eastAsia="zh-CN"/>
        </w:rPr>
        <w:t>验收合格且收到合同总金额100%增值税专票（税率</w:t>
      </w:r>
      <w:r>
        <w:rPr>
          <w:rFonts w:hint="eastAsia" w:ascii="仿宋_GB2312" w:eastAsia="仿宋_GB2312" w:cs="仿宋"/>
          <w:sz w:val="28"/>
          <w:szCs w:val="28"/>
          <w:highlight w:val="green"/>
          <w:lang w:val="en-US" w:eastAsia="zh-CN"/>
        </w:rPr>
        <w:t>***</w:t>
      </w:r>
      <w:r>
        <w:rPr>
          <w:rFonts w:hint="eastAsia" w:ascii="仿宋_GB2312" w:eastAsia="仿宋_GB2312" w:cs="仿宋"/>
          <w:sz w:val="28"/>
          <w:szCs w:val="28"/>
          <w:highlight w:val="green"/>
          <w:lang w:eastAsia="zh-CN"/>
        </w:rPr>
        <w:t>%）后30个工作日内支付</w:t>
      </w:r>
      <w:r>
        <w:rPr>
          <w:rFonts w:hint="eastAsia" w:ascii="仿宋_GB2312" w:eastAsia="仿宋_GB2312" w:cs="仿宋"/>
          <w:sz w:val="28"/>
          <w:szCs w:val="28"/>
          <w:highlight w:val="green"/>
          <w:lang w:val="en-US" w:eastAsia="zh-CN"/>
        </w:rPr>
        <w:t>***</w:t>
      </w:r>
      <w:r>
        <w:rPr>
          <w:rFonts w:hint="eastAsia" w:ascii="仿宋_GB2312" w:eastAsia="仿宋_GB2312" w:cs="仿宋"/>
          <w:sz w:val="28"/>
          <w:szCs w:val="28"/>
          <w:highlight w:val="green"/>
          <w:lang w:eastAsia="zh-CN"/>
        </w:rPr>
        <w:t>%费用</w:t>
      </w:r>
      <w:r>
        <w:rPr>
          <w:rFonts w:hint="eastAsia" w:ascii="仿宋_GB2312" w:eastAsia="仿宋_GB2312" w:cs="仿宋"/>
          <w:sz w:val="28"/>
          <w:szCs w:val="28"/>
          <w:highlight w:val="none"/>
        </w:rPr>
        <w:t>。</w:t>
      </w:r>
    </w:p>
    <w:p w14:paraId="5226764F">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lang w:val="en-US" w:eastAsia="zh-CN"/>
        </w:rPr>
        <w:t>2.</w:t>
      </w:r>
      <w:r>
        <w:rPr>
          <w:rFonts w:hint="eastAsia" w:ascii="仿宋_GB2312" w:eastAsia="仿宋_GB2312" w:cs="仿宋"/>
          <w:sz w:val="28"/>
          <w:szCs w:val="28"/>
        </w:rPr>
        <w:t>关于开具增值税专用发票的要求：</w:t>
      </w:r>
    </w:p>
    <w:p w14:paraId="1D865D91">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1）甲方向乙方支付合同价款前，乙方应向甲方开具增值税专用发票，否则，甲方有权拒绝付款并顺延付款时间。因乙方开具的发票不规范、不合法或涉嫌虚开发票引起税务问题的，乙方需依法向甲方重新开具发票，并向甲方承担赔偿责任。</w:t>
      </w:r>
    </w:p>
    <w:p w14:paraId="66EDD184">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（2）乙方应按照甲方要求，及时向甲方开具可以抵扣税款的增值税专用发票。因乙方开具发票不及时给甲方造成无法及时认证、抵扣发票等情形的，乙方需向甲方承担赔偿责任。</w:t>
      </w:r>
    </w:p>
    <w:p w14:paraId="762D5A97">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3）乙方向甲方开具的增值税专用发票，乙方必须确保发票票面信息全部真实，相关货物、价款等内容与本合同相一致。因发票票面信息有误导致发票不能抵扣税款或者被认定为虚开的，乙方需向甲方承担赔偿责任。</w:t>
      </w:r>
    </w:p>
    <w:p w14:paraId="5CDCC3C1">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（4）乙方收取价外费用的，需依法开具增值税专用发票。</w:t>
      </w:r>
    </w:p>
    <w:p w14:paraId="402646F4">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（5）甲方增值税专用发票信息如下：</w:t>
      </w:r>
    </w:p>
    <w:p w14:paraId="044B4631">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单位名称：山东济钢环保新材料有限公司</w:t>
      </w:r>
    </w:p>
    <w:p w14:paraId="68D0E902">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纳税人识别号：91370181MA3MJQRU4Y</w:t>
      </w:r>
    </w:p>
    <w:p w14:paraId="0AE9EE73">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开户行：中国民生银行济南章丘支行</w:t>
      </w:r>
    </w:p>
    <w:p w14:paraId="09373BB1">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账号：609055119</w:t>
      </w:r>
    </w:p>
    <w:p w14:paraId="4E641FEF">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地址：山东省济南市章丘区官庄街道青野村东</w:t>
      </w:r>
    </w:p>
    <w:p w14:paraId="39C763EA">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电话：0531-83790165</w:t>
      </w:r>
    </w:p>
    <w:p w14:paraId="31BCFEE0">
      <w:pPr>
        <w:pStyle w:val="59"/>
        <w:keepNext w:val="0"/>
        <w:keepLines w:val="0"/>
        <w:pageBreakBefore w:val="0"/>
        <w:kinsoku/>
        <w:wordWrap/>
        <w:overflowPunct/>
        <w:topLinePunct w:val="0"/>
        <w:autoSpaceDE/>
        <w:autoSpaceDN/>
        <w:bidi w:val="0"/>
        <w:adjustRightInd w:val="0"/>
        <w:snapToGrid w:val="0"/>
        <w:spacing w:after="0" w:line="520" w:lineRule="exact"/>
        <w:ind w:left="0"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四</w:t>
      </w:r>
      <w:r>
        <w:rPr>
          <w:rFonts w:hint="eastAsia" w:ascii="仿宋_GB2312" w:eastAsia="仿宋_GB2312"/>
          <w:b/>
          <w:bCs/>
          <w:sz w:val="28"/>
          <w:szCs w:val="28"/>
          <w:lang w:eastAsia="zh-CN"/>
        </w:rPr>
        <w:t>、</w:t>
      </w:r>
      <w:r>
        <w:rPr>
          <w:rFonts w:hint="eastAsia" w:ascii="仿宋_GB2312" w:eastAsia="仿宋_GB2312"/>
          <w:b/>
          <w:bCs/>
          <w:sz w:val="28"/>
          <w:szCs w:val="28"/>
        </w:rPr>
        <w:t>安全责任</w:t>
      </w:r>
    </w:p>
    <w:p w14:paraId="028D0A4D">
      <w:pPr>
        <w:pStyle w:val="59"/>
        <w:keepNext w:val="0"/>
        <w:keepLines w:val="0"/>
        <w:pageBreakBefore w:val="0"/>
        <w:widowControl w:val="0"/>
        <w:kinsoku/>
        <w:wordWrap/>
        <w:overflowPunct/>
        <w:topLinePunct w:val="0"/>
        <w:autoSpaceDE/>
        <w:autoSpaceDN/>
        <w:bidi w:val="0"/>
        <w:adjustRightInd w:val="0"/>
        <w:snapToGrid w:val="0"/>
        <w:spacing w:after="0" w:line="520" w:lineRule="exact"/>
        <w:ind w:left="0" w:leftChars="0" w:firstLine="560" w:firstLineChars="200"/>
        <w:textAlignment w:val="auto"/>
        <w:rPr>
          <w:rFonts w:hint="eastAsia" w:ascii="仿宋_GB2312" w:eastAsia="仿宋_GB2312" w:cs="仿宋"/>
          <w:b w:val="0"/>
          <w:sz w:val="28"/>
          <w:szCs w:val="28"/>
        </w:rPr>
      </w:pPr>
      <w:r>
        <w:rPr>
          <w:rFonts w:hint="eastAsia" w:ascii="仿宋_GB2312" w:eastAsia="仿宋_GB2312" w:cs="仿宋"/>
          <w:b w:val="0"/>
          <w:sz w:val="28"/>
          <w:szCs w:val="28"/>
        </w:rPr>
        <w:t>进入甲方现场，穿戴好劳动防护用品，听从甲方管理人员的指挥。对于不按规定穿戴劳动防护用品，违章作业</w:t>
      </w:r>
      <w:r>
        <w:rPr>
          <w:rFonts w:hint="eastAsia" w:ascii="仿宋_GB2312" w:eastAsia="仿宋_GB2312" w:cs="仿宋"/>
          <w:b w:val="0"/>
          <w:sz w:val="28"/>
          <w:szCs w:val="28"/>
          <w:lang w:eastAsia="zh-CN"/>
        </w:rPr>
        <w:t>，</w:t>
      </w:r>
      <w:r>
        <w:rPr>
          <w:rFonts w:hint="eastAsia" w:ascii="仿宋_GB2312" w:eastAsia="仿宋_GB2312" w:cs="仿宋"/>
          <w:b w:val="0"/>
          <w:sz w:val="28"/>
          <w:szCs w:val="28"/>
        </w:rPr>
        <w:t>不听从甲方安全管理人员的指挥，造成的安全事故，由乙方承担全部责任。</w:t>
      </w:r>
    </w:p>
    <w:p w14:paraId="3C30D225">
      <w:pPr>
        <w:pStyle w:val="59"/>
        <w:keepNext w:val="0"/>
        <w:keepLines w:val="0"/>
        <w:pageBreakBefore w:val="0"/>
        <w:widowControl w:val="0"/>
        <w:kinsoku/>
        <w:wordWrap/>
        <w:overflowPunct/>
        <w:topLinePunct w:val="0"/>
        <w:autoSpaceDE/>
        <w:autoSpaceDN/>
        <w:bidi w:val="0"/>
        <w:adjustRightInd w:val="0"/>
        <w:snapToGrid w:val="0"/>
        <w:spacing w:after="0" w:line="520" w:lineRule="exact"/>
        <w:ind w:left="0" w:leftChars="0" w:firstLine="560" w:firstLineChars="200"/>
        <w:textAlignment w:val="auto"/>
        <w:rPr>
          <w:rFonts w:hint="default" w:ascii="仿宋_GB2312" w:eastAsia="仿宋_GB2312" w:cs="仿宋"/>
          <w:b w:val="0"/>
          <w:sz w:val="28"/>
          <w:szCs w:val="28"/>
          <w:highlight w:val="yellow"/>
          <w:lang w:val="en-US" w:eastAsia="zh-CN"/>
        </w:rPr>
      </w:pPr>
      <w:r>
        <w:rPr>
          <w:rFonts w:hint="eastAsia" w:ascii="仿宋_GB2312" w:eastAsia="仿宋_GB2312" w:cs="仿宋"/>
          <w:b w:val="0"/>
          <w:sz w:val="28"/>
          <w:szCs w:val="28"/>
          <w:highlight w:val="yellow"/>
          <w:lang w:val="en-US" w:eastAsia="zh-CN"/>
        </w:rPr>
        <w:t>质保期内由乙方所供维护平台导致双方人员发生的安全事故，由乙方承担全部责任。</w:t>
      </w:r>
    </w:p>
    <w:p w14:paraId="699B9467">
      <w:pPr>
        <w:pStyle w:val="59"/>
        <w:keepNext w:val="0"/>
        <w:keepLines w:val="0"/>
        <w:pageBreakBefore w:val="0"/>
        <w:kinsoku/>
        <w:wordWrap/>
        <w:overflowPunct/>
        <w:topLinePunct w:val="0"/>
        <w:autoSpaceDE/>
        <w:autoSpaceDN/>
        <w:bidi w:val="0"/>
        <w:adjustRightInd w:val="0"/>
        <w:snapToGrid w:val="0"/>
        <w:spacing w:after="0" w:line="520" w:lineRule="exact"/>
        <w:ind w:left="0"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五</w:t>
      </w:r>
      <w:r>
        <w:rPr>
          <w:rFonts w:hint="eastAsia" w:ascii="仿宋_GB2312" w:eastAsia="仿宋_GB2312"/>
          <w:b/>
          <w:bCs/>
          <w:sz w:val="28"/>
          <w:szCs w:val="28"/>
          <w:lang w:eastAsia="zh-CN"/>
        </w:rPr>
        <w:t>、</w:t>
      </w:r>
      <w:r>
        <w:rPr>
          <w:rFonts w:hint="eastAsia" w:ascii="仿宋_GB2312" w:eastAsia="仿宋_GB2312"/>
          <w:b/>
          <w:bCs/>
          <w:sz w:val="28"/>
          <w:szCs w:val="28"/>
        </w:rPr>
        <w:t>争议解决</w:t>
      </w:r>
    </w:p>
    <w:p w14:paraId="16A018EF">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双方约定，在履行本合同过程中发生争议，双方协商解决；协商不成时，依法向</w:t>
      </w:r>
      <w:r>
        <w:rPr>
          <w:rFonts w:hint="eastAsia" w:ascii="仿宋_GB2312" w:eastAsia="仿宋_GB2312" w:cs="仿宋"/>
          <w:sz w:val="28"/>
          <w:szCs w:val="28"/>
          <w:lang w:val="en-US" w:eastAsia="zh-CN"/>
        </w:rPr>
        <w:t>章丘区</w:t>
      </w:r>
      <w:r>
        <w:rPr>
          <w:rFonts w:hint="eastAsia" w:ascii="仿宋_GB2312" w:eastAsia="仿宋_GB2312" w:cs="仿宋"/>
          <w:sz w:val="28"/>
          <w:szCs w:val="28"/>
        </w:rPr>
        <w:t>人民法院提起诉讼。</w:t>
      </w:r>
    </w:p>
    <w:p w14:paraId="61434B4B">
      <w:pPr>
        <w:pStyle w:val="59"/>
        <w:keepNext w:val="0"/>
        <w:keepLines w:val="0"/>
        <w:pageBreakBefore w:val="0"/>
        <w:kinsoku/>
        <w:wordWrap/>
        <w:overflowPunct/>
        <w:topLinePunct w:val="0"/>
        <w:autoSpaceDE/>
        <w:autoSpaceDN/>
        <w:bidi w:val="0"/>
        <w:adjustRightInd w:val="0"/>
        <w:snapToGrid w:val="0"/>
        <w:spacing w:after="0" w:line="520" w:lineRule="exact"/>
        <w:ind w:left="0"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val="en-US" w:eastAsia="zh-CN"/>
        </w:rPr>
        <w:t>六、</w:t>
      </w:r>
      <w:r>
        <w:rPr>
          <w:rFonts w:hint="eastAsia" w:ascii="仿宋_GB2312" w:eastAsia="仿宋_GB2312"/>
          <w:b/>
          <w:bCs/>
          <w:sz w:val="28"/>
          <w:szCs w:val="28"/>
        </w:rPr>
        <w:t>其他约定事项</w:t>
      </w:r>
    </w:p>
    <w:p w14:paraId="3BD3A5A6">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u w:val="single"/>
        </w:rPr>
      </w:pPr>
      <w:r>
        <w:rPr>
          <w:rFonts w:hint="eastAsia" w:ascii="仿宋_GB2312" w:eastAsia="仿宋_GB2312" w:cs="仿宋"/>
          <w:sz w:val="28"/>
          <w:szCs w:val="28"/>
        </w:rPr>
        <w:t>1</w:t>
      </w:r>
      <w:r>
        <w:rPr>
          <w:rFonts w:hint="eastAsia" w:ascii="仿宋_GB2312" w:eastAsia="仿宋_GB2312" w:cs="仿宋"/>
          <w:sz w:val="28"/>
          <w:szCs w:val="28"/>
          <w:lang w:val="en-US" w:eastAsia="zh-CN"/>
        </w:rPr>
        <w:t>.</w:t>
      </w:r>
      <w:r>
        <w:rPr>
          <w:rFonts w:hint="eastAsia" w:ascii="仿宋_GB2312" w:eastAsia="仿宋_GB2312" w:cs="仿宋"/>
          <w:sz w:val="28"/>
          <w:szCs w:val="28"/>
        </w:rPr>
        <w:t>特别约定事项：</w:t>
      </w:r>
    </w:p>
    <w:p w14:paraId="31ED434A">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2</w:t>
      </w:r>
      <w:r>
        <w:rPr>
          <w:rFonts w:hint="eastAsia" w:ascii="仿宋_GB2312" w:eastAsia="仿宋_GB2312" w:cs="仿宋"/>
          <w:sz w:val="28"/>
          <w:szCs w:val="28"/>
          <w:lang w:val="en-US" w:eastAsia="zh-CN"/>
        </w:rPr>
        <w:t>.</w:t>
      </w:r>
      <w:r>
        <w:rPr>
          <w:rFonts w:hint="eastAsia" w:ascii="仿宋_GB2312" w:eastAsia="仿宋_GB2312" w:cs="仿宋"/>
          <w:sz w:val="28"/>
          <w:szCs w:val="28"/>
        </w:rPr>
        <w:t>合同文件包括此合同书和下列文件，是本合同不可分割的一部分：</w:t>
      </w:r>
    </w:p>
    <w:p w14:paraId="7DE1B58A">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lang w:eastAsia="zh-CN"/>
        </w:rPr>
      </w:pPr>
      <w:r>
        <w:rPr>
          <w:rFonts w:hint="eastAsia" w:ascii="仿宋_GB2312" w:eastAsia="仿宋_GB2312" w:cs="仿宋"/>
          <w:sz w:val="28"/>
          <w:szCs w:val="28"/>
        </w:rPr>
        <w:t>（1）本合同</w:t>
      </w:r>
      <w:r>
        <w:rPr>
          <w:rFonts w:hint="eastAsia" w:ascii="仿宋_GB2312" w:eastAsia="仿宋_GB2312" w:cs="仿宋"/>
          <w:sz w:val="28"/>
          <w:szCs w:val="28"/>
          <w:lang w:eastAsia="zh-CN"/>
        </w:rPr>
        <w:t>；</w:t>
      </w:r>
    </w:p>
    <w:p w14:paraId="2B294B03">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（2）</w:t>
      </w:r>
      <w:r>
        <w:rPr>
          <w:rFonts w:hint="eastAsia" w:ascii="仿宋_GB2312" w:eastAsia="仿宋_GB2312" w:cs="仿宋"/>
          <w:sz w:val="28"/>
          <w:szCs w:val="28"/>
          <w:lang w:val="en-US" w:eastAsia="zh-CN"/>
        </w:rPr>
        <w:t>招标</w:t>
      </w:r>
      <w:r>
        <w:rPr>
          <w:rFonts w:hint="eastAsia" w:ascii="仿宋_GB2312" w:eastAsia="仿宋_GB2312" w:cs="仿宋"/>
          <w:sz w:val="28"/>
          <w:szCs w:val="28"/>
        </w:rPr>
        <w:t xml:space="preserve">文件； </w:t>
      </w:r>
    </w:p>
    <w:p w14:paraId="6FB62578">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（3）</w:t>
      </w:r>
      <w:r>
        <w:rPr>
          <w:rFonts w:hint="eastAsia" w:ascii="仿宋_GB2312" w:eastAsia="仿宋_GB2312" w:cs="仿宋"/>
          <w:sz w:val="28"/>
          <w:szCs w:val="28"/>
          <w:lang w:val="en-US" w:eastAsia="zh-CN"/>
        </w:rPr>
        <w:t>投标</w:t>
      </w:r>
      <w:r>
        <w:rPr>
          <w:rFonts w:hint="eastAsia" w:ascii="仿宋_GB2312" w:eastAsia="仿宋_GB2312" w:cs="仿宋"/>
          <w:sz w:val="28"/>
          <w:szCs w:val="28"/>
        </w:rPr>
        <w:t xml:space="preserve">文件； </w:t>
      </w:r>
    </w:p>
    <w:p w14:paraId="2268DBE4">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（4）乙方所有对甲方的承诺函件；</w:t>
      </w:r>
    </w:p>
    <w:p w14:paraId="64DFE77C">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本合同效力高于其它合同文件，如果合同文件中出现分歧，则以本合同文件为准。</w:t>
      </w:r>
    </w:p>
    <w:p w14:paraId="206F8290">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3</w:t>
      </w:r>
      <w:r>
        <w:rPr>
          <w:rFonts w:hint="eastAsia" w:ascii="仿宋_GB2312" w:eastAsia="仿宋_GB2312" w:cs="仿宋"/>
          <w:sz w:val="28"/>
          <w:szCs w:val="28"/>
          <w:lang w:val="en-US" w:eastAsia="zh-CN"/>
        </w:rPr>
        <w:t>.</w:t>
      </w:r>
      <w:r>
        <w:rPr>
          <w:rFonts w:hint="eastAsia" w:ascii="仿宋_GB2312" w:eastAsia="仿宋_GB2312" w:cs="仿宋"/>
          <w:sz w:val="28"/>
          <w:szCs w:val="28"/>
        </w:rPr>
        <w:t>对本合同的变更只能经双方法定代表人或授权委托人签署补充合同，并加盖本合同统一公章，其他以会议纪要等形式对合同更改的一律无效。</w:t>
      </w:r>
    </w:p>
    <w:p w14:paraId="29AAD79C">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4</w:t>
      </w:r>
      <w:r>
        <w:rPr>
          <w:rFonts w:hint="eastAsia" w:ascii="仿宋_GB2312" w:eastAsia="仿宋_GB2312" w:cs="仿宋"/>
          <w:sz w:val="28"/>
          <w:szCs w:val="28"/>
          <w:lang w:val="en-US" w:eastAsia="zh-CN"/>
        </w:rPr>
        <w:t>.</w:t>
      </w:r>
      <w:r>
        <w:rPr>
          <w:rFonts w:hint="eastAsia" w:ascii="仿宋_GB2312" w:eastAsia="仿宋_GB2312" w:cs="仿宋"/>
          <w:sz w:val="28"/>
          <w:szCs w:val="28"/>
        </w:rPr>
        <w:t>下列合同附件是本合同组成部分,具有同等法律效力，与本合同不相符时，以本合同为准。</w:t>
      </w:r>
    </w:p>
    <w:p w14:paraId="23624A53">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5</w:t>
      </w:r>
      <w:r>
        <w:rPr>
          <w:rFonts w:hint="eastAsia" w:ascii="仿宋_GB2312" w:eastAsia="仿宋_GB2312" w:cs="仿宋"/>
          <w:sz w:val="28"/>
          <w:szCs w:val="28"/>
          <w:lang w:val="en-US" w:eastAsia="zh-CN"/>
        </w:rPr>
        <w:t>.</w:t>
      </w:r>
      <w:r>
        <w:rPr>
          <w:rFonts w:hint="eastAsia" w:ascii="仿宋_GB2312" w:eastAsia="仿宋_GB2312" w:cs="仿宋"/>
          <w:sz w:val="28"/>
          <w:szCs w:val="28"/>
        </w:rPr>
        <w:t>双方往来均以书面形式为准。</w:t>
      </w:r>
    </w:p>
    <w:p w14:paraId="31309F32">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6</w:t>
      </w:r>
      <w:r>
        <w:rPr>
          <w:rFonts w:hint="eastAsia" w:ascii="仿宋_GB2312" w:eastAsia="仿宋_GB2312" w:cs="仿宋"/>
          <w:sz w:val="28"/>
          <w:szCs w:val="28"/>
          <w:lang w:val="en-US" w:eastAsia="zh-CN"/>
        </w:rPr>
        <w:t>.</w:t>
      </w:r>
      <w:r>
        <w:rPr>
          <w:rFonts w:hint="eastAsia" w:ascii="仿宋_GB2312" w:eastAsia="仿宋_GB2312" w:cs="仿宋"/>
          <w:sz w:val="28"/>
          <w:szCs w:val="28"/>
        </w:rPr>
        <w:t>本合同经双方签字并盖章后生效。</w:t>
      </w:r>
    </w:p>
    <w:p w14:paraId="065567B5">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rPr>
      </w:pPr>
      <w:r>
        <w:rPr>
          <w:rFonts w:hint="eastAsia" w:ascii="仿宋_GB2312" w:eastAsia="仿宋_GB2312" w:cs="仿宋"/>
          <w:sz w:val="28"/>
          <w:szCs w:val="28"/>
        </w:rPr>
        <w:t>7</w:t>
      </w:r>
      <w:r>
        <w:rPr>
          <w:rFonts w:hint="eastAsia" w:ascii="仿宋_GB2312" w:eastAsia="仿宋_GB2312" w:cs="仿宋"/>
          <w:sz w:val="28"/>
          <w:szCs w:val="28"/>
          <w:lang w:val="en-US" w:eastAsia="zh-CN"/>
        </w:rPr>
        <w:t>.</w:t>
      </w:r>
      <w:r>
        <w:rPr>
          <w:rFonts w:hint="eastAsia" w:ascii="仿宋_GB2312" w:eastAsia="仿宋_GB2312" w:cs="仿宋"/>
          <w:sz w:val="28"/>
          <w:szCs w:val="28"/>
        </w:rPr>
        <w:t>签订地点：济南市章丘区</w:t>
      </w:r>
    </w:p>
    <w:p w14:paraId="6921CB4E">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lang w:eastAsia="zh-CN"/>
        </w:rPr>
      </w:pPr>
      <w:r>
        <w:rPr>
          <w:rFonts w:hint="eastAsia" w:ascii="仿宋_GB2312" w:eastAsia="仿宋_GB2312" w:cs="仿宋"/>
          <w:sz w:val="28"/>
          <w:szCs w:val="28"/>
        </w:rPr>
        <w:t>8</w:t>
      </w:r>
      <w:r>
        <w:rPr>
          <w:rFonts w:hint="eastAsia" w:ascii="仿宋_GB2312" w:eastAsia="仿宋_GB2312" w:cs="仿宋"/>
          <w:sz w:val="28"/>
          <w:szCs w:val="28"/>
          <w:lang w:val="en-US" w:eastAsia="zh-CN"/>
        </w:rPr>
        <w:t>.</w:t>
      </w:r>
      <w:r>
        <w:rPr>
          <w:rFonts w:hint="eastAsia" w:ascii="仿宋_GB2312" w:eastAsia="仿宋_GB2312" w:cs="仿宋"/>
          <w:sz w:val="28"/>
          <w:szCs w:val="28"/>
        </w:rPr>
        <w:t>本合同一式</w:t>
      </w:r>
      <w:r>
        <w:rPr>
          <w:rFonts w:hint="eastAsia" w:ascii="仿宋_GB2312" w:eastAsia="仿宋_GB2312" w:cs="仿宋"/>
          <w:sz w:val="28"/>
          <w:szCs w:val="28"/>
          <w:lang w:val="en-US" w:eastAsia="zh-CN"/>
        </w:rPr>
        <w:t>五</w:t>
      </w:r>
      <w:r>
        <w:rPr>
          <w:rFonts w:hint="eastAsia" w:ascii="仿宋_GB2312" w:eastAsia="仿宋_GB2312" w:cs="仿宋"/>
          <w:sz w:val="28"/>
          <w:szCs w:val="28"/>
        </w:rPr>
        <w:t>份，甲方</w:t>
      </w:r>
      <w:r>
        <w:rPr>
          <w:rFonts w:hint="eastAsia" w:ascii="仿宋_GB2312" w:eastAsia="仿宋_GB2312" w:cs="仿宋"/>
          <w:sz w:val="28"/>
          <w:szCs w:val="28"/>
          <w:lang w:val="en-US" w:eastAsia="zh-CN"/>
        </w:rPr>
        <w:t>三</w:t>
      </w:r>
      <w:r>
        <w:rPr>
          <w:rFonts w:hint="eastAsia" w:ascii="仿宋_GB2312" w:eastAsia="仿宋_GB2312" w:cs="仿宋"/>
          <w:sz w:val="28"/>
          <w:szCs w:val="28"/>
        </w:rPr>
        <w:t>份，乙方两份，均具同等法律效力</w:t>
      </w:r>
      <w:r>
        <w:rPr>
          <w:rFonts w:hint="eastAsia" w:ascii="仿宋_GB2312" w:eastAsia="仿宋_GB2312" w:cs="仿宋"/>
          <w:sz w:val="28"/>
          <w:szCs w:val="28"/>
          <w:lang w:eastAsia="zh-CN"/>
        </w:rPr>
        <w:t>。</w:t>
      </w:r>
      <w:bookmarkEnd w:id="147"/>
      <w:bookmarkEnd w:id="148"/>
    </w:p>
    <w:p w14:paraId="63A6FC46">
      <w:pPr>
        <w:keepNext w:val="0"/>
        <w:keepLines w:val="0"/>
        <w:pageBreakBefore w:val="0"/>
        <w:kinsoku/>
        <w:wordWrap/>
        <w:overflowPunct/>
        <w:topLinePunct w:val="0"/>
        <w:autoSpaceDE/>
        <w:autoSpaceDN/>
        <w:bidi w:val="0"/>
        <w:adjustRightInd w:val="0"/>
        <w:snapToGrid w:val="0"/>
        <w:spacing w:after="0" w:line="520" w:lineRule="exact"/>
        <w:ind w:left="0" w:firstLine="560" w:firstLineChars="200"/>
        <w:textAlignment w:val="auto"/>
        <w:rPr>
          <w:rFonts w:hint="eastAsia" w:ascii="仿宋_GB2312" w:eastAsia="仿宋_GB2312" w:cs="仿宋"/>
          <w:sz w:val="28"/>
          <w:szCs w:val="28"/>
          <w:lang w:eastAsia="zh-CN"/>
        </w:rPr>
      </w:pPr>
    </w:p>
    <w:tbl>
      <w:tblPr>
        <w:tblStyle w:val="46"/>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9"/>
        <w:gridCol w:w="4936"/>
      </w:tblGrid>
      <w:tr w14:paraId="340D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09" w:type="dxa"/>
            <w:noWrap w:val="0"/>
            <w:vAlign w:val="center"/>
          </w:tcPr>
          <w:p w14:paraId="69A5F23B">
            <w:pPr>
              <w:spacing w:line="320" w:lineRule="exact"/>
              <w:jc w:val="center"/>
              <w:rPr>
                <w:rFonts w:hint="eastAsia" w:ascii="宋体" w:hAnsi="宋体" w:eastAsia="宋体"/>
                <w:sz w:val="24"/>
                <w:lang w:eastAsia="zh-CN"/>
              </w:rPr>
            </w:pPr>
            <w:r>
              <w:rPr>
                <w:rFonts w:hint="eastAsia" w:ascii="宋体" w:hAnsi="宋体"/>
                <w:sz w:val="24"/>
                <w:lang w:val="en-US" w:eastAsia="zh-CN"/>
              </w:rPr>
              <w:t>甲方</w:t>
            </w:r>
          </w:p>
        </w:tc>
        <w:tc>
          <w:tcPr>
            <w:tcW w:w="4936" w:type="dxa"/>
            <w:noWrap w:val="0"/>
            <w:vAlign w:val="center"/>
          </w:tcPr>
          <w:p w14:paraId="337B2993">
            <w:pPr>
              <w:spacing w:line="320" w:lineRule="exact"/>
              <w:jc w:val="center"/>
              <w:rPr>
                <w:rFonts w:hint="eastAsia" w:ascii="宋体" w:hAnsi="宋体" w:eastAsia="宋体"/>
                <w:sz w:val="24"/>
                <w:lang w:eastAsia="zh-CN"/>
              </w:rPr>
            </w:pPr>
            <w:r>
              <w:rPr>
                <w:rFonts w:hint="eastAsia" w:ascii="宋体" w:hAnsi="宋体"/>
                <w:sz w:val="24"/>
                <w:lang w:val="en-US" w:eastAsia="zh-CN"/>
              </w:rPr>
              <w:t>乙方</w:t>
            </w:r>
          </w:p>
        </w:tc>
      </w:tr>
      <w:tr w14:paraId="5D4A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09" w:type="dxa"/>
            <w:noWrap w:val="0"/>
            <w:vAlign w:val="center"/>
          </w:tcPr>
          <w:p w14:paraId="3BB3337C">
            <w:pPr>
              <w:spacing w:line="320" w:lineRule="exact"/>
              <w:rPr>
                <w:rFonts w:ascii="宋体" w:hAnsi="宋体"/>
                <w:sz w:val="24"/>
              </w:rPr>
            </w:pPr>
            <w:r>
              <w:rPr>
                <w:rFonts w:hint="eastAsia" w:ascii="宋体" w:hAnsi="宋体"/>
                <w:sz w:val="24"/>
              </w:rPr>
              <w:t>单位名称（章）：</w:t>
            </w:r>
          </w:p>
        </w:tc>
        <w:tc>
          <w:tcPr>
            <w:tcW w:w="4936" w:type="dxa"/>
            <w:noWrap w:val="0"/>
            <w:vAlign w:val="center"/>
          </w:tcPr>
          <w:p w14:paraId="36079717">
            <w:pPr>
              <w:keepLines/>
              <w:widowControl/>
              <w:tabs>
                <w:tab w:val="left" w:pos="720"/>
                <w:tab w:val="left" w:pos="4320"/>
                <w:tab w:val="left" w:pos="5040"/>
                <w:tab w:val="right" w:pos="8640"/>
              </w:tabs>
              <w:spacing w:line="360" w:lineRule="auto"/>
              <w:ind w:left="1800" w:hanging="1800" w:hangingChars="750"/>
              <w:rPr>
                <w:rFonts w:ascii="宋体" w:hAnsi="宋体" w:cs="仿宋"/>
                <w:kern w:val="0"/>
                <w:sz w:val="24"/>
                <w:szCs w:val="20"/>
              </w:rPr>
            </w:pPr>
            <w:r>
              <w:rPr>
                <w:rFonts w:hint="eastAsia" w:ascii="宋体" w:hAnsi="宋体" w:cs="仿宋"/>
                <w:kern w:val="0"/>
                <w:sz w:val="24"/>
                <w:szCs w:val="20"/>
              </w:rPr>
              <w:t>单位名称（章）：</w:t>
            </w:r>
          </w:p>
        </w:tc>
      </w:tr>
      <w:tr w14:paraId="538E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609" w:type="dxa"/>
            <w:noWrap w:val="0"/>
            <w:vAlign w:val="center"/>
          </w:tcPr>
          <w:p w14:paraId="5194250A">
            <w:pPr>
              <w:spacing w:line="320" w:lineRule="exact"/>
              <w:rPr>
                <w:rFonts w:ascii="宋体" w:hAnsi="宋体"/>
                <w:sz w:val="24"/>
              </w:rPr>
            </w:pPr>
            <w:r>
              <w:rPr>
                <w:rFonts w:hint="eastAsia" w:ascii="宋体" w:hAnsi="宋体"/>
                <w:sz w:val="24"/>
              </w:rPr>
              <w:t>单位地址：</w:t>
            </w:r>
          </w:p>
        </w:tc>
        <w:tc>
          <w:tcPr>
            <w:tcW w:w="4936" w:type="dxa"/>
            <w:noWrap w:val="0"/>
            <w:vAlign w:val="center"/>
          </w:tcPr>
          <w:p w14:paraId="60FA7364">
            <w:pPr>
              <w:keepLines/>
              <w:widowControl/>
              <w:tabs>
                <w:tab w:val="left" w:pos="720"/>
                <w:tab w:val="left" w:pos="4320"/>
                <w:tab w:val="left" w:pos="5040"/>
                <w:tab w:val="right" w:pos="8640"/>
              </w:tabs>
              <w:spacing w:line="360" w:lineRule="auto"/>
              <w:ind w:left="1200" w:hanging="1200" w:hangingChars="500"/>
              <w:rPr>
                <w:rFonts w:ascii="宋体" w:hAnsi="宋体" w:cs="仿宋"/>
                <w:kern w:val="0"/>
                <w:sz w:val="24"/>
                <w:szCs w:val="20"/>
              </w:rPr>
            </w:pPr>
            <w:r>
              <w:rPr>
                <w:rFonts w:hint="eastAsia" w:ascii="宋体" w:hAnsi="宋体" w:cs="仿宋"/>
                <w:kern w:val="0"/>
                <w:sz w:val="24"/>
                <w:szCs w:val="20"/>
              </w:rPr>
              <w:t>单位地址：</w:t>
            </w:r>
          </w:p>
        </w:tc>
      </w:tr>
      <w:tr w14:paraId="747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09" w:type="dxa"/>
            <w:noWrap w:val="0"/>
            <w:vAlign w:val="center"/>
          </w:tcPr>
          <w:p w14:paraId="1AB7C91F">
            <w:pPr>
              <w:keepLines/>
              <w:widowControl/>
              <w:tabs>
                <w:tab w:val="left" w:pos="720"/>
                <w:tab w:val="left" w:pos="4320"/>
                <w:tab w:val="left" w:pos="5040"/>
                <w:tab w:val="right" w:pos="8640"/>
              </w:tabs>
              <w:spacing w:line="360" w:lineRule="auto"/>
              <w:rPr>
                <w:rFonts w:hint="eastAsia" w:ascii="宋体" w:hAnsi="宋体" w:eastAsia="宋体" w:cs="仿宋"/>
                <w:kern w:val="0"/>
                <w:sz w:val="24"/>
                <w:szCs w:val="20"/>
              </w:rPr>
            </w:pPr>
            <w:r>
              <w:rPr>
                <w:rFonts w:hint="eastAsia" w:ascii="宋体" w:hAnsi="宋体" w:eastAsia="宋体" w:cs="仿宋"/>
                <w:kern w:val="0"/>
                <w:sz w:val="24"/>
                <w:szCs w:val="20"/>
              </w:rPr>
              <w:t>委托代理人</w:t>
            </w:r>
            <w:r>
              <w:rPr>
                <w:rFonts w:hint="eastAsia" w:ascii="宋体" w:hAnsi="宋体" w:eastAsia="宋体" w:cs="仿宋"/>
                <w:kern w:val="0"/>
                <w:sz w:val="24"/>
                <w:szCs w:val="20"/>
                <w:lang w:val="en-US" w:eastAsia="zh-CN"/>
              </w:rPr>
              <w:t>(签字/盖章)</w:t>
            </w:r>
            <w:r>
              <w:rPr>
                <w:rFonts w:hint="eastAsia" w:ascii="宋体" w:hAnsi="宋体" w:eastAsia="宋体" w:cs="仿宋"/>
                <w:kern w:val="0"/>
                <w:sz w:val="24"/>
                <w:szCs w:val="20"/>
              </w:rPr>
              <w:t>：</w:t>
            </w:r>
          </w:p>
        </w:tc>
        <w:tc>
          <w:tcPr>
            <w:tcW w:w="4936" w:type="dxa"/>
            <w:noWrap w:val="0"/>
            <w:vAlign w:val="center"/>
          </w:tcPr>
          <w:p w14:paraId="7E94AA91">
            <w:pPr>
              <w:keepLines/>
              <w:widowControl/>
              <w:tabs>
                <w:tab w:val="left" w:pos="720"/>
                <w:tab w:val="left" w:pos="4320"/>
                <w:tab w:val="left" w:pos="5040"/>
                <w:tab w:val="right" w:pos="8640"/>
              </w:tabs>
              <w:spacing w:line="360" w:lineRule="auto"/>
              <w:rPr>
                <w:rFonts w:hint="eastAsia" w:ascii="宋体" w:hAnsi="宋体" w:eastAsia="宋体" w:cs="仿宋"/>
                <w:kern w:val="0"/>
                <w:sz w:val="24"/>
                <w:szCs w:val="20"/>
              </w:rPr>
            </w:pPr>
            <w:r>
              <w:rPr>
                <w:rFonts w:hint="eastAsia" w:ascii="宋体" w:hAnsi="宋体" w:eastAsia="宋体" w:cs="仿宋"/>
                <w:kern w:val="0"/>
                <w:sz w:val="24"/>
                <w:szCs w:val="20"/>
              </w:rPr>
              <w:t>委托代理人</w:t>
            </w:r>
            <w:r>
              <w:rPr>
                <w:rFonts w:hint="eastAsia" w:ascii="宋体" w:hAnsi="宋体" w:eastAsia="宋体" w:cs="仿宋"/>
                <w:kern w:val="0"/>
                <w:sz w:val="24"/>
                <w:szCs w:val="20"/>
                <w:lang w:val="en-US" w:eastAsia="zh-CN"/>
              </w:rPr>
              <w:t>(签字/盖章)</w:t>
            </w:r>
            <w:r>
              <w:rPr>
                <w:rFonts w:hint="eastAsia" w:ascii="宋体" w:hAnsi="宋体" w:eastAsia="宋体" w:cs="仿宋"/>
                <w:kern w:val="0"/>
                <w:sz w:val="24"/>
                <w:szCs w:val="20"/>
              </w:rPr>
              <w:t>：</w:t>
            </w:r>
          </w:p>
        </w:tc>
      </w:tr>
      <w:tr w14:paraId="75F0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09" w:type="dxa"/>
            <w:noWrap w:val="0"/>
            <w:vAlign w:val="center"/>
          </w:tcPr>
          <w:p w14:paraId="3E433889">
            <w:pPr>
              <w:spacing w:line="320" w:lineRule="exact"/>
              <w:rPr>
                <w:rFonts w:ascii="宋体" w:hAnsi="宋体"/>
                <w:sz w:val="24"/>
              </w:rPr>
            </w:pPr>
            <w:r>
              <w:rPr>
                <w:rFonts w:hint="eastAsia" w:ascii="宋体" w:hAnsi="宋体"/>
                <w:sz w:val="24"/>
              </w:rPr>
              <w:t>电话：</w:t>
            </w:r>
          </w:p>
        </w:tc>
        <w:tc>
          <w:tcPr>
            <w:tcW w:w="4936" w:type="dxa"/>
            <w:noWrap w:val="0"/>
            <w:vAlign w:val="center"/>
          </w:tcPr>
          <w:p w14:paraId="3E200931">
            <w:pPr>
              <w:keepLines/>
              <w:widowControl/>
              <w:tabs>
                <w:tab w:val="left" w:pos="720"/>
                <w:tab w:val="left" w:pos="4320"/>
                <w:tab w:val="left" w:pos="5040"/>
                <w:tab w:val="right" w:pos="8640"/>
              </w:tabs>
              <w:spacing w:line="360" w:lineRule="auto"/>
              <w:rPr>
                <w:rFonts w:ascii="宋体" w:hAnsi="宋体" w:cs="仿宋"/>
                <w:kern w:val="0"/>
                <w:sz w:val="24"/>
                <w:szCs w:val="20"/>
              </w:rPr>
            </w:pPr>
            <w:r>
              <w:rPr>
                <w:rFonts w:hint="eastAsia" w:ascii="宋体" w:hAnsi="宋体" w:cs="仿宋"/>
                <w:kern w:val="0"/>
                <w:sz w:val="24"/>
                <w:szCs w:val="20"/>
              </w:rPr>
              <w:t>电话：</w:t>
            </w:r>
          </w:p>
        </w:tc>
      </w:tr>
      <w:tr w14:paraId="6F8E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09" w:type="dxa"/>
            <w:noWrap w:val="0"/>
            <w:vAlign w:val="center"/>
          </w:tcPr>
          <w:p w14:paraId="102FC473">
            <w:pPr>
              <w:keepLines/>
              <w:widowControl/>
              <w:tabs>
                <w:tab w:val="left" w:pos="720"/>
                <w:tab w:val="left" w:pos="3780"/>
                <w:tab w:val="left" w:pos="4500"/>
                <w:tab w:val="right" w:pos="8640"/>
              </w:tabs>
              <w:spacing w:line="360" w:lineRule="auto"/>
              <w:rPr>
                <w:rFonts w:ascii="宋体" w:hAnsi="宋体"/>
                <w:sz w:val="24"/>
              </w:rPr>
            </w:pPr>
            <w:r>
              <w:rPr>
                <w:rFonts w:hint="eastAsia" w:ascii="宋体" w:hAnsi="宋体" w:cs="仿宋"/>
                <w:spacing w:val="-5"/>
                <w:kern w:val="0"/>
                <w:sz w:val="24"/>
                <w:lang w:bidi="he-IL"/>
              </w:rPr>
              <w:t>开户行:</w:t>
            </w:r>
            <w:r>
              <w:rPr>
                <w:rFonts w:hint="eastAsia" w:ascii="宋体" w:hAnsi="宋体" w:cs="仿宋"/>
                <w:kern w:val="0"/>
                <w:sz w:val="24"/>
                <w:szCs w:val="20"/>
              </w:rPr>
              <w:t xml:space="preserve"> </w:t>
            </w:r>
          </w:p>
        </w:tc>
        <w:tc>
          <w:tcPr>
            <w:tcW w:w="4936" w:type="dxa"/>
            <w:noWrap w:val="0"/>
            <w:vAlign w:val="center"/>
          </w:tcPr>
          <w:p w14:paraId="604CA708">
            <w:pPr>
              <w:keepLines/>
              <w:widowControl/>
              <w:tabs>
                <w:tab w:val="left" w:pos="720"/>
                <w:tab w:val="left" w:pos="4320"/>
                <w:tab w:val="left" w:pos="5040"/>
                <w:tab w:val="right" w:pos="8640"/>
              </w:tabs>
              <w:spacing w:line="360" w:lineRule="auto"/>
              <w:rPr>
                <w:rFonts w:ascii="宋体" w:hAnsi="宋体" w:cs="仿宋"/>
                <w:kern w:val="0"/>
                <w:sz w:val="24"/>
                <w:szCs w:val="20"/>
              </w:rPr>
            </w:pPr>
            <w:r>
              <w:rPr>
                <w:rFonts w:hint="eastAsia" w:ascii="宋体" w:hAnsi="宋体" w:cs="仿宋"/>
                <w:kern w:val="0"/>
                <w:sz w:val="24"/>
                <w:szCs w:val="20"/>
              </w:rPr>
              <w:t>开户行:</w:t>
            </w:r>
            <w:r>
              <w:rPr>
                <w:rFonts w:hint="eastAsia"/>
                <w:sz w:val="24"/>
              </w:rPr>
              <w:t xml:space="preserve"> </w:t>
            </w:r>
          </w:p>
        </w:tc>
      </w:tr>
      <w:tr w14:paraId="1717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09" w:type="dxa"/>
            <w:noWrap w:val="0"/>
            <w:vAlign w:val="center"/>
          </w:tcPr>
          <w:p w14:paraId="468A9330">
            <w:pPr>
              <w:keepLines/>
              <w:widowControl/>
              <w:tabs>
                <w:tab w:val="left" w:pos="720"/>
                <w:tab w:val="left" w:pos="4320"/>
                <w:tab w:val="left" w:pos="5040"/>
                <w:tab w:val="right" w:pos="8640"/>
              </w:tabs>
              <w:spacing w:line="360" w:lineRule="auto"/>
              <w:rPr>
                <w:rFonts w:ascii="宋体" w:hAnsi="宋体"/>
                <w:sz w:val="24"/>
              </w:rPr>
            </w:pPr>
            <w:r>
              <w:rPr>
                <w:rFonts w:hint="eastAsia" w:ascii="宋体" w:hAnsi="宋体" w:cs="仿宋"/>
                <w:sz w:val="24"/>
              </w:rPr>
              <w:t>账号</w:t>
            </w:r>
            <w:r>
              <w:rPr>
                <w:rFonts w:hint="eastAsia" w:ascii="宋体" w:hAnsi="宋体" w:cs="仿宋"/>
                <w:spacing w:val="-5"/>
                <w:kern w:val="0"/>
                <w:sz w:val="24"/>
                <w:lang w:bidi="he-IL"/>
              </w:rPr>
              <w:t>：</w:t>
            </w:r>
          </w:p>
        </w:tc>
        <w:tc>
          <w:tcPr>
            <w:tcW w:w="4936" w:type="dxa"/>
            <w:noWrap w:val="0"/>
            <w:vAlign w:val="center"/>
          </w:tcPr>
          <w:p w14:paraId="22F4AA60">
            <w:pPr>
              <w:keepLines/>
              <w:widowControl/>
              <w:tabs>
                <w:tab w:val="left" w:pos="720"/>
                <w:tab w:val="left" w:pos="4320"/>
                <w:tab w:val="left" w:pos="5040"/>
                <w:tab w:val="right" w:pos="8640"/>
              </w:tabs>
              <w:spacing w:line="360" w:lineRule="auto"/>
              <w:rPr>
                <w:rFonts w:hint="eastAsia" w:ascii="宋体" w:hAnsi="宋体" w:cs="仿宋"/>
                <w:kern w:val="0"/>
                <w:sz w:val="24"/>
                <w:szCs w:val="20"/>
              </w:rPr>
            </w:pPr>
            <w:r>
              <w:rPr>
                <w:rFonts w:hint="eastAsia" w:ascii="宋体" w:hAnsi="宋体" w:cs="仿宋"/>
                <w:kern w:val="0"/>
                <w:sz w:val="24"/>
                <w:szCs w:val="20"/>
              </w:rPr>
              <w:t>账号：</w:t>
            </w:r>
          </w:p>
        </w:tc>
      </w:tr>
      <w:tr w14:paraId="0822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09" w:type="dxa"/>
            <w:noWrap w:val="0"/>
            <w:vAlign w:val="center"/>
          </w:tcPr>
          <w:p w14:paraId="3E356FEA">
            <w:pPr>
              <w:keepLines/>
              <w:widowControl/>
              <w:tabs>
                <w:tab w:val="left" w:pos="720"/>
                <w:tab w:val="left" w:pos="4320"/>
                <w:tab w:val="left" w:pos="5040"/>
                <w:tab w:val="right" w:pos="8640"/>
              </w:tabs>
              <w:spacing w:line="360" w:lineRule="auto"/>
              <w:rPr>
                <w:rFonts w:ascii="宋体" w:hAnsi="宋体"/>
                <w:sz w:val="24"/>
              </w:rPr>
            </w:pPr>
            <w:r>
              <w:rPr>
                <w:rFonts w:hint="eastAsia" w:ascii="宋体" w:hAnsi="宋体" w:cs="仿宋"/>
                <w:spacing w:val="-5"/>
                <w:kern w:val="0"/>
                <w:sz w:val="24"/>
                <w:lang w:bidi="he-IL"/>
              </w:rPr>
              <w:t>税务登记证号：</w:t>
            </w:r>
          </w:p>
        </w:tc>
        <w:tc>
          <w:tcPr>
            <w:tcW w:w="4936" w:type="dxa"/>
            <w:noWrap w:val="0"/>
            <w:vAlign w:val="center"/>
          </w:tcPr>
          <w:p w14:paraId="5C373486">
            <w:pPr>
              <w:keepLines/>
              <w:widowControl/>
              <w:tabs>
                <w:tab w:val="left" w:pos="720"/>
                <w:tab w:val="left" w:pos="4320"/>
                <w:tab w:val="left" w:pos="5040"/>
                <w:tab w:val="right" w:pos="8640"/>
              </w:tabs>
              <w:spacing w:line="360" w:lineRule="auto"/>
              <w:rPr>
                <w:rFonts w:hint="eastAsia" w:ascii="宋体" w:hAnsi="宋体" w:cs="仿宋"/>
                <w:kern w:val="0"/>
                <w:sz w:val="24"/>
                <w:szCs w:val="20"/>
              </w:rPr>
            </w:pPr>
            <w:r>
              <w:rPr>
                <w:rFonts w:hint="eastAsia" w:ascii="宋体" w:hAnsi="宋体" w:cs="仿宋"/>
                <w:kern w:val="0"/>
                <w:sz w:val="24"/>
                <w:szCs w:val="20"/>
              </w:rPr>
              <w:t>税务登记证号：</w:t>
            </w:r>
          </w:p>
        </w:tc>
      </w:tr>
      <w:tr w14:paraId="438E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545" w:type="dxa"/>
            <w:gridSpan w:val="2"/>
            <w:noWrap w:val="0"/>
            <w:vAlign w:val="center"/>
          </w:tcPr>
          <w:p w14:paraId="114F5C65">
            <w:pPr>
              <w:spacing w:line="320" w:lineRule="exact"/>
              <w:jc w:val="center"/>
              <w:rPr>
                <w:rFonts w:ascii="宋体" w:hAnsi="宋体"/>
                <w:sz w:val="24"/>
              </w:rPr>
            </w:pPr>
            <w:r>
              <w:rPr>
                <w:rFonts w:hint="eastAsia" w:ascii="宋体" w:hAnsi="宋体"/>
                <w:sz w:val="24"/>
              </w:rPr>
              <w:t>日期：     年   月   日</w:t>
            </w:r>
          </w:p>
        </w:tc>
      </w:tr>
    </w:tbl>
    <w:p w14:paraId="3AB2076E">
      <w:pPr>
        <w:pStyle w:val="59"/>
        <w:shd w:val="clear"/>
        <w:ind w:left="0" w:firstLine="482" w:firstLineChars="200"/>
        <w:jc w:val="left"/>
        <w:rPr>
          <w:szCs w:val="22"/>
          <w:highlight w:val="none"/>
        </w:rPr>
      </w:pPr>
      <w:r>
        <w:rPr>
          <w:rFonts w:hint="eastAsia" w:cs="仿宋"/>
          <w:szCs w:val="20"/>
          <w:highlight w:val="none"/>
        </w:rPr>
        <w:t>注：</w:t>
      </w:r>
      <w:r>
        <w:rPr>
          <w:rFonts w:hint="eastAsia"/>
          <w:szCs w:val="22"/>
          <w:highlight w:val="none"/>
        </w:rPr>
        <w:t>招标文件中的合同条款为主要条款，双方的权利义务以未来签订的商务合同为准。未来签订的商务合同的条款存在与本招标文件不一致的地方，但不会对实质性内容进行改变。</w:t>
      </w:r>
    </w:p>
    <w:bookmarkEnd w:id="144"/>
    <w:p w14:paraId="0B74593B">
      <w:pPr>
        <w:pStyle w:val="59"/>
        <w:shd w:val="clear"/>
        <w:rPr>
          <w:rFonts w:hint="default" w:ascii="仿宋_GB2312" w:eastAsia="仿宋_GB2312"/>
          <w:highlight w:val="none"/>
          <w:lang w:val="en-US" w:eastAsia="zh-CN"/>
        </w:rPr>
      </w:pPr>
      <w:r>
        <w:rPr>
          <w:rFonts w:hint="eastAsia" w:ascii="仿宋_GB2312" w:eastAsia="仿宋_GB2312"/>
          <w:highlight w:val="none"/>
          <w:lang w:val="en-US" w:eastAsia="zh-CN"/>
        </w:rPr>
        <w:t>附件1：技术协议</w:t>
      </w:r>
    </w:p>
    <w:p w14:paraId="3567EF5C">
      <w:pPr>
        <w:pStyle w:val="59"/>
        <w:shd w:val="clear"/>
        <w:rPr>
          <w:rFonts w:hint="eastAsia" w:ascii="仿宋_GB2312" w:hAnsi="宋体" w:eastAsia="仿宋_GB2312" w:cs="Times New Roman"/>
          <w:highlight w:val="none"/>
          <w:lang w:val="en-US" w:eastAsia="zh-CN"/>
        </w:rPr>
      </w:pPr>
      <w:r>
        <w:rPr>
          <w:rFonts w:hint="eastAsia" w:ascii="仿宋_GB2312" w:hAnsi="宋体" w:eastAsia="仿宋_GB2312" w:cs="Times New Roman"/>
          <w:highlight w:val="none"/>
          <w:lang w:val="en-US" w:eastAsia="zh-CN"/>
        </w:rPr>
        <w:t>附件2：廉洁协议书</w:t>
      </w:r>
    </w:p>
    <w:p w14:paraId="4FEC06E0">
      <w:pPr>
        <w:shd w:val="clear"/>
        <w:snapToGrid w:val="0"/>
        <w:spacing w:line="420" w:lineRule="exact"/>
        <w:jc w:val="left"/>
        <w:rPr>
          <w:rFonts w:hint="eastAsia" w:ascii="仿宋_GB2312" w:eastAsia="仿宋_GB2312" w:cs="仿宋"/>
          <w:sz w:val="28"/>
          <w:szCs w:val="28"/>
          <w:highlight w:val="none"/>
        </w:rPr>
      </w:pPr>
      <w:r>
        <w:rPr>
          <w:rFonts w:hint="eastAsia" w:ascii="仿宋_GB2312" w:eastAsia="仿宋_GB2312" w:cs="仿宋"/>
          <w:sz w:val="28"/>
          <w:szCs w:val="28"/>
          <w:highlight w:val="none"/>
        </w:rPr>
        <w:t xml:space="preserve">            </w:t>
      </w:r>
    </w:p>
    <w:p w14:paraId="7ECCF0A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黑体" w:hAnsi="宋体" w:eastAsia="黑体" w:cs="Times New Roman"/>
          <w:b/>
          <w:bCs/>
          <w:kern w:val="0"/>
          <w:sz w:val="24"/>
          <w:szCs w:val="24"/>
          <w:highlight w:val="none"/>
          <w:lang w:val="en-US" w:eastAsia="zh-CN" w:bidi="ar-SA"/>
        </w:rPr>
      </w:pPr>
      <w:r>
        <w:rPr>
          <w:rFonts w:hint="eastAsia" w:ascii="黑体" w:hAnsi="宋体" w:eastAsia="黑体" w:cs="Times New Roman"/>
          <w:b/>
          <w:bCs/>
          <w:kern w:val="0"/>
          <w:sz w:val="24"/>
          <w:szCs w:val="24"/>
          <w:highlight w:val="none"/>
          <w:lang w:val="en-US" w:eastAsia="zh-CN" w:bidi="ar-SA"/>
        </w:rPr>
        <w:t>廉洁协议书</w:t>
      </w:r>
    </w:p>
    <w:p w14:paraId="506A44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为规范甲乙双方在业务交往活动中的行为，严防在业务活动中发生违规违纪违法行为，经双方协商，达成廉洁协议如下：</w:t>
      </w:r>
    </w:p>
    <w:p w14:paraId="1BB68E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第一条 甲乙双方共同责任</w:t>
      </w:r>
    </w:p>
    <w:p w14:paraId="3B899E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1、严格遵守国家的法律法规及廉政建设有关规定。</w:t>
      </w:r>
    </w:p>
    <w:p w14:paraId="303927F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2、共同营造廉洁、诚信、公平、公正的业务交往环境。</w:t>
      </w:r>
    </w:p>
    <w:p w14:paraId="153A32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3、加强对有关人员的管理和教育，自觉抵制不廉洁行为。</w:t>
      </w:r>
    </w:p>
    <w:p w14:paraId="6A050E8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4、发现对方及及其人员在业务活动中有违反廉政规定的行为，有及时要求对方纠正，并向纪检监察机关或司法机关举报的权利和义务。</w:t>
      </w:r>
    </w:p>
    <w:p w14:paraId="7D9807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第二条 甲方及其人员的责任</w:t>
      </w:r>
    </w:p>
    <w:p w14:paraId="2F8E833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1、禁止索要或接受乙方及其相关单位和人员提供的回扣、礼金、有价证劵、支付凭证、贵重物品等。</w:t>
      </w:r>
    </w:p>
    <w:p w14:paraId="59A28C0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2、禁止在乙方及其相关单位报销任何应由甲方或个人支付的费用。</w:t>
      </w:r>
    </w:p>
    <w:p w14:paraId="364782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3、禁止在乙方及其相关单位投资入股，禁止向乙方单位及人员借款或委托买卖股票、债券等。</w:t>
      </w:r>
    </w:p>
    <w:p w14:paraId="6CFAE2A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4、禁止暗示、要求和接受乙方及其相关单位为其购买或装修住房，为婚丧嫁娶、配偶和子女的工作安排或上学等提供方便。</w:t>
      </w:r>
    </w:p>
    <w:p w14:paraId="1B0BA0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5、禁止接受乙方及其相关单位安排的宴请以及旅游、健身等娱乐活动。</w:t>
      </w:r>
    </w:p>
    <w:p w14:paraId="054E7F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6、禁止接受乙方及其相关单位购置或提供的通讯工具、交通工具和高档办公用品。</w:t>
      </w:r>
    </w:p>
    <w:p w14:paraId="5571EF7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7、禁止通过乙方及其相关单位为其配偶、子女及他人谋取不正当利益。</w:t>
      </w:r>
    </w:p>
    <w:p w14:paraId="4772BA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8、禁止在乙方或乙方相关单位兼职和领取兼职工资及报酬；禁止利用甲方的商业秘密谋取个人私利。</w:t>
      </w:r>
    </w:p>
    <w:p w14:paraId="559CD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9、禁止利用职权和工作之便向乙方提出上述各项禁止事项之外其它违背党规党纪、国家法律法规和本公司廉洁自律有关规定的事项或要求。</w:t>
      </w:r>
    </w:p>
    <w:p w14:paraId="68EA5A6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kern w:val="0"/>
          <w:sz w:val="24"/>
          <w:szCs w:val="24"/>
          <w:highlight w:val="none"/>
        </w:rPr>
        <w:t>10、</w:t>
      </w:r>
      <w:r>
        <w:rPr>
          <w:rFonts w:hint="eastAsia" w:ascii="宋体" w:hAnsi="宋体" w:eastAsia="宋体" w:cs="宋体"/>
          <w:b w:val="0"/>
          <w:bCs w:val="0"/>
          <w:kern w:val="0"/>
          <w:sz w:val="24"/>
          <w:szCs w:val="24"/>
          <w:highlight w:val="none"/>
        </w:rPr>
        <w:t>如乙方有知悉/怀疑甲方员工有违反上述规定的，欢迎与甲方纪委办联系。甲方设定专用电话</w:t>
      </w:r>
      <w:r>
        <w:rPr>
          <w:rFonts w:hint="eastAsia" w:ascii="宋体" w:hAnsi="宋体" w:eastAsia="宋体" w:cs="宋体"/>
          <w:b w:val="0"/>
          <w:bCs w:val="0"/>
          <w:kern w:val="0"/>
          <w:sz w:val="24"/>
          <w:szCs w:val="24"/>
          <w:highlight w:val="none"/>
          <w:lang w:val="en-US" w:eastAsia="zh-CN"/>
        </w:rPr>
        <w:t>0531-83790163</w:t>
      </w:r>
      <w:r>
        <w:rPr>
          <w:rFonts w:hint="eastAsia" w:ascii="宋体" w:hAnsi="宋体" w:eastAsia="宋体" w:cs="宋体"/>
          <w:b w:val="0"/>
          <w:bCs w:val="0"/>
          <w:kern w:val="0"/>
          <w:sz w:val="24"/>
          <w:szCs w:val="24"/>
          <w:highlight w:val="none"/>
        </w:rPr>
        <w:t>接受乙方的投诉</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甲方会对所有信息提供者及所提供的全部资料严格保密。</w:t>
      </w:r>
    </w:p>
    <w:p w14:paraId="110DDF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第三条 乙方及其人员责任</w:t>
      </w:r>
    </w:p>
    <w:p w14:paraId="5E15CB4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1、禁止向甲方及其人员提供回扣、礼金、有价证劵、支付凭证、贵重物品等。</w:t>
      </w:r>
    </w:p>
    <w:p w14:paraId="4EB9C2C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2、禁止为甲方及其人员报销应由甲方或甲方个人支付的费用。</w:t>
      </w:r>
    </w:p>
    <w:p w14:paraId="61C51A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3、禁止为甲方及其人员在乙方投资入股、个人借款等提供方便。</w:t>
      </w:r>
    </w:p>
    <w:p w14:paraId="7087F41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4、禁止为甲方及其人员购买或装修住房，为婚丧嫁娶、配偶和子女工作安排或上学等提供方便。</w:t>
      </w:r>
    </w:p>
    <w:p w14:paraId="1FB2A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5、禁止为甲方及其人员安排宴请以及旅游、健身、娱乐等活动。</w:t>
      </w:r>
    </w:p>
    <w:p w14:paraId="76D7AA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6、禁止为甲方及其人员购置或提供通讯工具、交通工具和高档办公用品。</w:t>
      </w:r>
    </w:p>
    <w:p w14:paraId="66F9106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7、禁止为甲方及其人员的配偶、子女及其它亲属谋取不正当利益提供方便。</w:t>
      </w:r>
    </w:p>
    <w:p w14:paraId="6A71385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8、禁止安排甲方人员在乙方或乙方相关企业兼职和领取兼职工资及报酬；禁止向甲方人员打探有关涉及甲方的商业秘密。</w:t>
      </w:r>
    </w:p>
    <w:p w14:paraId="432C66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9、甲方对涉嫌与甲方有关的不廉洁行为进行调查时，乙方有配合甲方提供证据、作证的义务</w:t>
      </w:r>
      <w:r>
        <w:rPr>
          <w:rFonts w:hint="eastAsia" w:ascii="宋体" w:hAnsi="宋体" w:eastAsia="宋体" w:cs="宋体"/>
          <w:kern w:val="0"/>
          <w:sz w:val="24"/>
          <w:szCs w:val="24"/>
          <w:highlight w:val="none"/>
          <w:lang w:eastAsia="zh-CN"/>
        </w:rPr>
        <w:t>。</w:t>
      </w:r>
    </w:p>
    <w:p w14:paraId="228DC1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第四条 违约责任</w:t>
      </w:r>
    </w:p>
    <w:p w14:paraId="104CC4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1、甲方及其人员有违反本协议第一条、第二条规定的，按照管理权限，依据有关纪律规定给予有关人员纪律处分或组织处理；涉嫌犯罪的，移交司法机关追究刑事责任。</w:t>
      </w:r>
    </w:p>
    <w:p w14:paraId="734D47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乙方及其人员有违反本协议第一条、第三条规定的，甲方有权依据本协议单方决定变更甲、乙双方所有合同中关于数额、履行期限等相关权利与义务的条款，且有权解除与乙方的所有协议、合同并不承担任何违约责任。甲方并有权要求乙方赔偿由此造成的甲方损失（包括直接损失、可得利益损失、律师费等）。涉嫌犯罪的，移交司法机关追究刑事责任。</w:t>
      </w:r>
    </w:p>
    <w:p w14:paraId="69B3E7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第五条 本协议</w:t>
      </w:r>
      <w:r>
        <w:rPr>
          <w:rFonts w:hint="eastAsia" w:cs="宋体"/>
          <w:kern w:val="0"/>
          <w:sz w:val="24"/>
          <w:szCs w:val="24"/>
          <w:highlight w:val="none"/>
          <w:lang w:eastAsia="zh-CN"/>
        </w:rPr>
        <w:t>随主合同</w:t>
      </w:r>
      <w:r>
        <w:rPr>
          <w:rFonts w:hint="eastAsia" w:ascii="宋体" w:hAnsi="宋体" w:eastAsia="宋体" w:cs="宋体"/>
          <w:kern w:val="0"/>
          <w:sz w:val="24"/>
          <w:szCs w:val="24"/>
          <w:highlight w:val="none"/>
        </w:rPr>
        <w:t>经双方签署后生效</w:t>
      </w:r>
    </w:p>
    <w:p w14:paraId="1BAE7F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甲乙双方通过招标或其它方式签订业务合同时，必须签署本协议。本协议作为业务合同的附件，与合同具有同等效力；如双方未签订合同，本协议独立有效。</w:t>
      </w:r>
    </w:p>
    <w:p w14:paraId="7FAEE3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第六条 甲乙双方及其人员在合同履行完毕后，发现在合同执行期间有违反本协议规定的行为，仍按本协议规定处理。</w:t>
      </w:r>
    </w:p>
    <w:p w14:paraId="027195FC">
      <w:pPr>
        <w:pStyle w:val="57"/>
        <w:widowControl/>
        <w:shd w:val="clear"/>
        <w:spacing w:beforeLines="0" w:line="300" w:lineRule="auto"/>
        <w:rPr>
          <w:rFonts w:hint="eastAsia"/>
          <w:color w:val="000000"/>
          <w:sz w:val="36"/>
          <w:szCs w:val="36"/>
          <w:highlight w:val="none"/>
        </w:rPr>
      </w:pPr>
    </w:p>
    <w:p w14:paraId="2098FBC9">
      <w:pPr>
        <w:pStyle w:val="57"/>
        <w:widowControl/>
        <w:shd w:val="clear"/>
        <w:spacing w:beforeLines="0" w:line="300" w:lineRule="auto"/>
        <w:rPr>
          <w:rFonts w:hint="eastAsia"/>
          <w:color w:val="000000"/>
          <w:sz w:val="36"/>
          <w:szCs w:val="36"/>
          <w:highlight w:val="none"/>
        </w:rPr>
      </w:pPr>
    </w:p>
    <w:p w14:paraId="586E587C">
      <w:pPr>
        <w:pStyle w:val="57"/>
        <w:widowControl/>
        <w:shd w:val="clear"/>
        <w:spacing w:beforeLines="0" w:line="300" w:lineRule="auto"/>
        <w:rPr>
          <w:rFonts w:hint="eastAsia"/>
          <w:color w:val="000000"/>
          <w:sz w:val="36"/>
          <w:szCs w:val="36"/>
          <w:highlight w:val="none"/>
        </w:rPr>
      </w:pPr>
    </w:p>
    <w:p w14:paraId="1E8A367B">
      <w:pPr>
        <w:pStyle w:val="57"/>
        <w:widowControl/>
        <w:shd w:val="clear"/>
        <w:spacing w:beforeLines="0" w:line="300" w:lineRule="auto"/>
        <w:rPr>
          <w:rFonts w:hint="eastAsia"/>
          <w:color w:val="000000"/>
          <w:sz w:val="36"/>
          <w:szCs w:val="36"/>
          <w:highlight w:val="none"/>
        </w:rPr>
      </w:pPr>
    </w:p>
    <w:p w14:paraId="1C403F2E">
      <w:pPr>
        <w:pStyle w:val="57"/>
        <w:widowControl/>
        <w:shd w:val="clear"/>
        <w:spacing w:beforeLines="0" w:line="300" w:lineRule="auto"/>
        <w:rPr>
          <w:rFonts w:hint="eastAsia"/>
          <w:color w:val="000000"/>
          <w:sz w:val="36"/>
          <w:szCs w:val="36"/>
          <w:highlight w:val="none"/>
        </w:rPr>
      </w:pPr>
    </w:p>
    <w:p w14:paraId="27883367">
      <w:pPr>
        <w:pStyle w:val="57"/>
        <w:widowControl/>
        <w:shd w:val="clear"/>
        <w:spacing w:beforeLines="0" w:line="300" w:lineRule="auto"/>
        <w:rPr>
          <w:rFonts w:hint="eastAsia"/>
          <w:color w:val="000000"/>
          <w:sz w:val="36"/>
          <w:szCs w:val="36"/>
          <w:highlight w:val="none"/>
        </w:rPr>
      </w:pPr>
    </w:p>
    <w:p w14:paraId="24081F3C">
      <w:pPr>
        <w:pStyle w:val="57"/>
        <w:widowControl/>
        <w:shd w:val="clear"/>
        <w:spacing w:beforeLines="0" w:line="300" w:lineRule="auto"/>
        <w:rPr>
          <w:rFonts w:hint="eastAsia"/>
          <w:color w:val="000000"/>
          <w:sz w:val="36"/>
          <w:szCs w:val="36"/>
          <w:highlight w:val="none"/>
        </w:rPr>
      </w:pPr>
    </w:p>
    <w:p w14:paraId="5D07C18F">
      <w:pPr>
        <w:pStyle w:val="57"/>
        <w:widowControl/>
        <w:shd w:val="clear"/>
        <w:spacing w:beforeLines="0" w:line="300" w:lineRule="auto"/>
        <w:rPr>
          <w:rFonts w:hint="eastAsia"/>
          <w:color w:val="000000"/>
          <w:sz w:val="36"/>
          <w:szCs w:val="36"/>
          <w:highlight w:val="none"/>
        </w:rPr>
      </w:pPr>
    </w:p>
    <w:p w14:paraId="12333F90">
      <w:pPr>
        <w:pStyle w:val="57"/>
        <w:widowControl/>
        <w:shd w:val="clear"/>
        <w:spacing w:beforeLines="0" w:line="300" w:lineRule="auto"/>
        <w:rPr>
          <w:rFonts w:hint="eastAsia"/>
          <w:color w:val="000000"/>
          <w:sz w:val="36"/>
          <w:szCs w:val="36"/>
          <w:highlight w:val="none"/>
        </w:rPr>
      </w:pPr>
    </w:p>
    <w:p w14:paraId="28A9AD25">
      <w:pPr>
        <w:pStyle w:val="57"/>
        <w:widowControl/>
        <w:shd w:val="clear"/>
        <w:spacing w:beforeLines="0" w:line="300" w:lineRule="auto"/>
        <w:rPr>
          <w:rFonts w:hint="eastAsia"/>
          <w:color w:val="000000"/>
          <w:sz w:val="36"/>
          <w:szCs w:val="36"/>
          <w:highlight w:val="none"/>
        </w:rPr>
      </w:pPr>
    </w:p>
    <w:p w14:paraId="0FAD6D14">
      <w:pPr>
        <w:pStyle w:val="57"/>
        <w:widowControl/>
        <w:shd w:val="clear"/>
        <w:spacing w:beforeLines="0" w:line="300" w:lineRule="auto"/>
        <w:rPr>
          <w:rFonts w:hint="eastAsia"/>
          <w:color w:val="000000"/>
          <w:sz w:val="36"/>
          <w:szCs w:val="36"/>
          <w:highlight w:val="none"/>
        </w:rPr>
      </w:pPr>
    </w:p>
    <w:p w14:paraId="0FDC4078">
      <w:pPr>
        <w:pStyle w:val="57"/>
        <w:widowControl/>
        <w:shd w:val="clear"/>
        <w:spacing w:beforeLines="0" w:line="300" w:lineRule="auto"/>
        <w:rPr>
          <w:color w:val="000000"/>
          <w:sz w:val="36"/>
          <w:szCs w:val="36"/>
          <w:highlight w:val="none"/>
        </w:rPr>
      </w:pPr>
      <w:bookmarkStart w:id="149" w:name="_Toc1571_WPSOffice_Level1"/>
      <w:bookmarkStart w:id="150" w:name="_Toc10782_WPSOffice_Level1"/>
      <w:r>
        <w:rPr>
          <w:rFonts w:hint="eastAsia"/>
          <w:color w:val="000000"/>
          <w:sz w:val="36"/>
          <w:szCs w:val="36"/>
          <w:highlight w:val="none"/>
        </w:rPr>
        <w:t>第</w:t>
      </w:r>
      <w:r>
        <w:rPr>
          <w:rFonts w:hint="eastAsia"/>
          <w:color w:val="000000"/>
          <w:sz w:val="36"/>
          <w:szCs w:val="36"/>
          <w:highlight w:val="none"/>
          <w:lang w:val="en-US" w:eastAsia="zh-CN"/>
        </w:rPr>
        <w:t>六</w:t>
      </w:r>
      <w:r>
        <w:rPr>
          <w:rFonts w:hint="eastAsia"/>
          <w:color w:val="000000"/>
          <w:sz w:val="36"/>
          <w:szCs w:val="36"/>
          <w:highlight w:val="none"/>
        </w:rPr>
        <w:t>章</w:t>
      </w:r>
      <w:r>
        <w:rPr>
          <w:color w:val="000000"/>
          <w:sz w:val="36"/>
          <w:szCs w:val="36"/>
          <w:highlight w:val="none"/>
        </w:rPr>
        <w:t xml:space="preserve"> </w:t>
      </w:r>
      <w:r>
        <w:rPr>
          <w:rFonts w:hint="eastAsia"/>
          <w:color w:val="000000"/>
          <w:sz w:val="36"/>
          <w:szCs w:val="36"/>
          <w:highlight w:val="none"/>
        </w:rPr>
        <w:t>投标文件格式及内容</w:t>
      </w:r>
      <w:bookmarkEnd w:id="149"/>
      <w:bookmarkEnd w:id="150"/>
    </w:p>
    <w:p w14:paraId="70670FF3">
      <w:pPr>
        <w:shd w:val="clear"/>
        <w:autoSpaceDE w:val="0"/>
        <w:autoSpaceDN w:val="0"/>
        <w:adjustRightInd w:val="0"/>
        <w:spacing w:line="300" w:lineRule="auto"/>
        <w:ind w:firstLine="3360" w:firstLineChars="1400"/>
        <w:rPr>
          <w:rFonts w:ascii="Times New Roman" w:hAnsi="Times New Roman" w:eastAsia="黑体"/>
          <w:color w:val="000000"/>
          <w:highlight w:val="none"/>
          <w:shd w:val="clear" w:color="auto" w:fill="FFFFFF"/>
        </w:rPr>
      </w:pPr>
    </w:p>
    <w:p w14:paraId="60CC72AA">
      <w:pPr>
        <w:shd w:val="clear"/>
        <w:autoSpaceDE w:val="0"/>
        <w:autoSpaceDN w:val="0"/>
        <w:adjustRightInd w:val="0"/>
        <w:spacing w:line="300" w:lineRule="auto"/>
        <w:ind w:firstLine="6160" w:firstLineChars="1400"/>
        <w:jc w:val="right"/>
        <w:rPr>
          <w:rFonts w:ascii="Times New Roman" w:hAnsi="Times New Roman" w:eastAsia="黑体"/>
          <w:color w:val="000000"/>
          <w:sz w:val="44"/>
          <w:szCs w:val="44"/>
          <w:highlight w:val="none"/>
        </w:rPr>
      </w:pPr>
      <w:bookmarkStart w:id="151" w:name="_Toc10654_WPSOffice_Level1"/>
      <w:bookmarkStart w:id="152" w:name="_Toc27235_WPSOffice_Level1"/>
      <w:bookmarkStart w:id="153" w:name="_Toc9011_WPSOffice_Level1"/>
      <w:r>
        <w:rPr>
          <w:rFonts w:hint="eastAsia" w:ascii="Times New Roman" w:hAnsi="Times New Roman" w:eastAsia="黑体"/>
          <w:color w:val="000000"/>
          <w:sz w:val="44"/>
          <w:szCs w:val="44"/>
          <w:highlight w:val="none"/>
          <w:bdr w:val="single" w:color="auto" w:sz="4" w:space="0"/>
        </w:rPr>
        <w:t>正本</w:t>
      </w:r>
      <w:r>
        <w:rPr>
          <w:rFonts w:ascii="Times New Roman" w:hAnsi="Times New Roman" w:eastAsia="黑体"/>
          <w:color w:val="000000"/>
          <w:sz w:val="44"/>
          <w:szCs w:val="44"/>
          <w:highlight w:val="none"/>
          <w:bdr w:val="single" w:color="auto" w:sz="4" w:space="0"/>
        </w:rPr>
        <w:t>/</w:t>
      </w:r>
      <w:r>
        <w:rPr>
          <w:rFonts w:hint="eastAsia" w:ascii="Times New Roman" w:hAnsi="Times New Roman" w:eastAsia="黑体"/>
          <w:color w:val="000000"/>
          <w:sz w:val="44"/>
          <w:szCs w:val="44"/>
          <w:highlight w:val="none"/>
          <w:bdr w:val="single" w:color="auto" w:sz="4" w:space="0"/>
        </w:rPr>
        <w:t>副本</w:t>
      </w:r>
      <w:bookmarkEnd w:id="151"/>
      <w:bookmarkEnd w:id="152"/>
      <w:bookmarkEnd w:id="153"/>
    </w:p>
    <w:p w14:paraId="39A46221">
      <w:pPr>
        <w:shd w:val="clear"/>
        <w:spacing w:line="300" w:lineRule="auto"/>
        <w:rPr>
          <w:rFonts w:ascii="Times New Roman" w:hAnsi="Times New Roman"/>
          <w:color w:val="000000"/>
          <w:szCs w:val="21"/>
          <w:highlight w:val="none"/>
        </w:rPr>
      </w:pPr>
    </w:p>
    <w:p w14:paraId="1027378B">
      <w:pPr>
        <w:shd w:val="clear"/>
        <w:spacing w:line="300" w:lineRule="auto"/>
        <w:jc w:val="center"/>
        <w:rPr>
          <w:rFonts w:ascii="Times New Roman" w:hAnsi="Times New Roman" w:eastAsia="黑体"/>
          <w:color w:val="000000"/>
          <w:sz w:val="36"/>
          <w:szCs w:val="36"/>
          <w:highlight w:val="none"/>
        </w:rPr>
      </w:pPr>
      <w:r>
        <w:rPr>
          <w:rFonts w:ascii="Times New Roman" w:hAnsi="Times New Roman" w:eastAsia="黑体"/>
          <w:color w:val="000000"/>
          <w:sz w:val="36"/>
          <w:szCs w:val="36"/>
          <w:highlight w:val="none"/>
          <w:u w:val="single"/>
        </w:rPr>
        <w:t xml:space="preserve">                      </w:t>
      </w:r>
      <w:bookmarkStart w:id="154" w:name="_Toc23147_WPSOffice_Level1"/>
      <w:bookmarkStart w:id="155" w:name="_Toc24720_WPSOffice_Level1"/>
      <w:bookmarkStart w:id="156" w:name="_Toc28215_WPSOffice_Level1"/>
      <w:r>
        <w:rPr>
          <w:rFonts w:hint="eastAsia" w:ascii="Times New Roman" w:hAnsi="Times New Roman" w:eastAsia="黑体"/>
          <w:color w:val="000000"/>
          <w:sz w:val="36"/>
          <w:szCs w:val="36"/>
          <w:highlight w:val="none"/>
        </w:rPr>
        <w:t>（项目名称）</w:t>
      </w:r>
      <w:bookmarkEnd w:id="154"/>
      <w:bookmarkEnd w:id="155"/>
      <w:bookmarkEnd w:id="156"/>
    </w:p>
    <w:p w14:paraId="78D9CB8B">
      <w:pPr>
        <w:shd w:val="clear"/>
        <w:spacing w:line="300" w:lineRule="auto"/>
        <w:rPr>
          <w:rFonts w:ascii="Times New Roman" w:hAnsi="Times New Roman"/>
          <w:b/>
          <w:color w:val="000000"/>
          <w:szCs w:val="21"/>
          <w:highlight w:val="none"/>
        </w:rPr>
      </w:pPr>
    </w:p>
    <w:p w14:paraId="70213F40">
      <w:pPr>
        <w:shd w:val="clear"/>
        <w:spacing w:line="300" w:lineRule="auto"/>
        <w:jc w:val="center"/>
        <w:rPr>
          <w:rFonts w:ascii="Times New Roman" w:hAnsi="Times New Roman"/>
          <w:b/>
          <w:color w:val="000000"/>
          <w:szCs w:val="21"/>
          <w:highlight w:val="none"/>
        </w:rPr>
      </w:pPr>
    </w:p>
    <w:p w14:paraId="791C1CAC">
      <w:pPr>
        <w:shd w:val="clear"/>
        <w:spacing w:line="300" w:lineRule="auto"/>
        <w:rPr>
          <w:rFonts w:ascii="Times New Roman" w:hAnsi="Times New Roman"/>
          <w:b/>
          <w:color w:val="000000"/>
          <w:szCs w:val="21"/>
          <w:highlight w:val="none"/>
        </w:rPr>
      </w:pPr>
    </w:p>
    <w:p w14:paraId="6837E0E8">
      <w:pPr>
        <w:shd w:val="clear"/>
        <w:spacing w:line="300" w:lineRule="auto"/>
        <w:rPr>
          <w:rFonts w:ascii="Times New Roman" w:hAnsi="Times New Roman"/>
          <w:b/>
          <w:color w:val="000000"/>
          <w:szCs w:val="21"/>
          <w:highlight w:val="none"/>
        </w:rPr>
      </w:pPr>
    </w:p>
    <w:p w14:paraId="53B7C040">
      <w:pPr>
        <w:shd w:val="clear"/>
        <w:spacing w:line="300" w:lineRule="auto"/>
        <w:rPr>
          <w:rFonts w:ascii="Times New Roman" w:hAnsi="Times New Roman"/>
          <w:b/>
          <w:color w:val="000000"/>
          <w:szCs w:val="21"/>
          <w:highlight w:val="none"/>
        </w:rPr>
      </w:pPr>
    </w:p>
    <w:p w14:paraId="2336E257">
      <w:pPr>
        <w:shd w:val="clear"/>
        <w:spacing w:line="300" w:lineRule="auto"/>
        <w:rPr>
          <w:rFonts w:ascii="Times New Roman" w:hAnsi="Times New Roman"/>
          <w:b/>
          <w:color w:val="000000"/>
          <w:szCs w:val="21"/>
          <w:highlight w:val="none"/>
        </w:rPr>
      </w:pPr>
    </w:p>
    <w:p w14:paraId="1179460F">
      <w:pPr>
        <w:shd w:val="clear"/>
        <w:spacing w:line="300" w:lineRule="auto"/>
        <w:jc w:val="center"/>
        <w:rPr>
          <w:rFonts w:ascii="Times New Roman" w:hAnsi="Times New Roman" w:eastAsia="黑体"/>
          <w:color w:val="000000"/>
          <w:sz w:val="36"/>
          <w:szCs w:val="36"/>
          <w:highlight w:val="none"/>
        </w:rPr>
      </w:pPr>
      <w:bookmarkStart w:id="157" w:name="_Toc7890_WPSOffice_Level1"/>
      <w:bookmarkStart w:id="158" w:name="_Toc6615_WPSOffice_Level1"/>
      <w:bookmarkStart w:id="159" w:name="_Toc6765_WPSOffice_Level1"/>
      <w:r>
        <w:rPr>
          <w:rFonts w:hint="eastAsia" w:ascii="Times New Roman" w:hAnsi="Times New Roman" w:eastAsia="黑体"/>
          <w:color w:val="000000"/>
          <w:sz w:val="36"/>
          <w:szCs w:val="36"/>
          <w:highlight w:val="none"/>
        </w:rPr>
        <w:t>投标文件</w:t>
      </w:r>
      <w:bookmarkEnd w:id="157"/>
      <w:bookmarkEnd w:id="158"/>
      <w:bookmarkEnd w:id="159"/>
    </w:p>
    <w:p w14:paraId="45FBB176">
      <w:pPr>
        <w:shd w:val="clear"/>
        <w:spacing w:line="300" w:lineRule="auto"/>
        <w:rPr>
          <w:rFonts w:ascii="Times New Roman" w:hAnsi="Times New Roman"/>
          <w:b/>
          <w:color w:val="000000"/>
          <w:szCs w:val="21"/>
          <w:highlight w:val="none"/>
        </w:rPr>
      </w:pPr>
    </w:p>
    <w:p w14:paraId="56083C9A">
      <w:pPr>
        <w:shd w:val="clear"/>
        <w:spacing w:line="300" w:lineRule="auto"/>
        <w:rPr>
          <w:rFonts w:ascii="Times New Roman" w:hAnsi="Times New Roman"/>
          <w:color w:val="000000"/>
          <w:szCs w:val="21"/>
          <w:highlight w:val="none"/>
        </w:rPr>
      </w:pPr>
    </w:p>
    <w:p w14:paraId="7CD4EC4F">
      <w:pPr>
        <w:shd w:val="clear"/>
        <w:spacing w:line="300" w:lineRule="auto"/>
        <w:rPr>
          <w:rFonts w:ascii="Times New Roman" w:hAnsi="Times New Roman"/>
          <w:color w:val="000000"/>
          <w:szCs w:val="21"/>
          <w:highlight w:val="none"/>
        </w:rPr>
      </w:pPr>
    </w:p>
    <w:p w14:paraId="06F99AB9">
      <w:pPr>
        <w:shd w:val="clear"/>
        <w:spacing w:line="300" w:lineRule="auto"/>
        <w:rPr>
          <w:rFonts w:ascii="Times New Roman" w:hAnsi="Times New Roman"/>
          <w:color w:val="000000"/>
          <w:szCs w:val="21"/>
          <w:highlight w:val="none"/>
        </w:rPr>
      </w:pPr>
    </w:p>
    <w:p w14:paraId="772B2F40">
      <w:pPr>
        <w:shd w:val="clear"/>
        <w:spacing w:line="300" w:lineRule="auto"/>
        <w:rPr>
          <w:rFonts w:ascii="Times New Roman" w:hAnsi="Times New Roman"/>
          <w:color w:val="000000"/>
          <w:szCs w:val="21"/>
          <w:highlight w:val="none"/>
        </w:rPr>
      </w:pPr>
    </w:p>
    <w:p w14:paraId="432E2045">
      <w:pPr>
        <w:shd w:val="clear"/>
        <w:spacing w:line="300" w:lineRule="auto"/>
        <w:rPr>
          <w:rFonts w:ascii="Times New Roman" w:hAnsi="Times New Roman"/>
          <w:color w:val="000000"/>
          <w:szCs w:val="21"/>
          <w:highlight w:val="none"/>
        </w:rPr>
      </w:pPr>
    </w:p>
    <w:p w14:paraId="799649BA">
      <w:pPr>
        <w:shd w:val="clear"/>
        <w:spacing w:line="300" w:lineRule="auto"/>
        <w:rPr>
          <w:rFonts w:ascii="Times New Roman" w:hAnsi="Times New Roman"/>
          <w:color w:val="000000"/>
          <w:szCs w:val="21"/>
          <w:highlight w:val="none"/>
        </w:rPr>
      </w:pPr>
    </w:p>
    <w:p w14:paraId="65CA63DC">
      <w:pPr>
        <w:shd w:val="clear"/>
        <w:spacing w:line="300" w:lineRule="auto"/>
        <w:rPr>
          <w:rFonts w:ascii="Times New Roman" w:hAnsi="Times New Roman"/>
          <w:color w:val="000000"/>
          <w:szCs w:val="21"/>
          <w:highlight w:val="none"/>
        </w:rPr>
      </w:pPr>
    </w:p>
    <w:p w14:paraId="78258452">
      <w:pPr>
        <w:shd w:val="clear"/>
        <w:spacing w:line="300" w:lineRule="auto"/>
        <w:ind w:firstLine="140" w:firstLineChars="50"/>
        <w:rPr>
          <w:rFonts w:ascii="Times New Roman" w:hAnsi="Times New Roman" w:eastAsia="黑体"/>
          <w:color w:val="000000"/>
          <w:sz w:val="28"/>
          <w:szCs w:val="28"/>
          <w:highlight w:val="none"/>
          <w:u w:val="single"/>
        </w:rPr>
      </w:pPr>
      <w:r>
        <w:rPr>
          <w:rFonts w:hint="eastAsia" w:ascii="Times New Roman" w:hAnsi="Times New Roman" w:eastAsia="黑体"/>
          <w:color w:val="000000"/>
          <w:sz w:val="28"/>
          <w:szCs w:val="28"/>
          <w:highlight w:val="none"/>
        </w:rPr>
        <w:t>投标人：</w:t>
      </w:r>
      <w:r>
        <w:rPr>
          <w:rFonts w:ascii="Times New Roman" w:hAnsi="Times New Roman" w:eastAsia="黑体"/>
          <w:color w:val="000000"/>
          <w:sz w:val="28"/>
          <w:szCs w:val="28"/>
          <w:highlight w:val="none"/>
          <w:u w:val="single"/>
        </w:rPr>
        <w:t xml:space="preserve">                                       </w:t>
      </w:r>
      <w:r>
        <w:rPr>
          <w:rFonts w:hint="eastAsia" w:ascii="Times New Roman" w:hAnsi="Times New Roman" w:eastAsia="黑体"/>
          <w:color w:val="000000"/>
          <w:sz w:val="28"/>
          <w:szCs w:val="28"/>
          <w:highlight w:val="none"/>
        </w:rPr>
        <w:t>（盖单位公章）</w:t>
      </w:r>
    </w:p>
    <w:p w14:paraId="726CFD54">
      <w:pPr>
        <w:shd w:val="clear"/>
        <w:spacing w:line="300" w:lineRule="auto"/>
        <w:jc w:val="center"/>
        <w:rPr>
          <w:rFonts w:ascii="Times New Roman" w:hAnsi="Times New Roman" w:eastAsia="黑体"/>
          <w:color w:val="000000"/>
          <w:sz w:val="28"/>
          <w:szCs w:val="28"/>
          <w:highlight w:val="none"/>
        </w:rPr>
      </w:pPr>
      <w:bookmarkStart w:id="160" w:name="_Toc27359_WPSOffice_Level1"/>
      <w:bookmarkStart w:id="161" w:name="_Toc14022_WPSOffice_Level1"/>
      <w:bookmarkStart w:id="162" w:name="_Toc31414_WPSOffice_Level1"/>
      <w:r>
        <w:rPr>
          <w:rFonts w:hint="eastAsia" w:ascii="Times New Roman" w:hAnsi="Times New Roman" w:eastAsia="黑体"/>
          <w:color w:val="000000"/>
          <w:sz w:val="28"/>
          <w:szCs w:val="28"/>
          <w:highlight w:val="none"/>
        </w:rPr>
        <w:t>法定代表人或其委托代理人：</w:t>
      </w:r>
      <w:r>
        <w:rPr>
          <w:rFonts w:ascii="Times New Roman" w:hAnsi="Times New Roman" w:eastAsia="黑体"/>
          <w:color w:val="000000"/>
          <w:sz w:val="28"/>
          <w:szCs w:val="28"/>
          <w:highlight w:val="none"/>
          <w:u w:val="single"/>
        </w:rPr>
        <w:t xml:space="preserve">                    </w:t>
      </w:r>
      <w:r>
        <w:rPr>
          <w:rFonts w:hint="eastAsia" w:ascii="Times New Roman" w:hAnsi="Times New Roman" w:eastAsia="黑体"/>
          <w:color w:val="000000"/>
          <w:sz w:val="28"/>
          <w:szCs w:val="28"/>
          <w:highlight w:val="none"/>
        </w:rPr>
        <w:t>（签字或盖章）</w:t>
      </w:r>
      <w:bookmarkEnd w:id="160"/>
      <w:bookmarkEnd w:id="161"/>
      <w:bookmarkEnd w:id="162"/>
    </w:p>
    <w:p w14:paraId="614B00DE">
      <w:pPr>
        <w:shd w:val="clear"/>
        <w:spacing w:line="300" w:lineRule="auto"/>
        <w:jc w:val="center"/>
        <w:rPr>
          <w:rFonts w:ascii="Times New Roman" w:hAnsi="Times New Roman" w:eastAsia="黑体"/>
          <w:color w:val="000000"/>
          <w:sz w:val="28"/>
          <w:szCs w:val="28"/>
          <w:highlight w:val="none"/>
          <w:u w:val="single"/>
        </w:rPr>
      </w:pPr>
    </w:p>
    <w:p w14:paraId="71B2C008">
      <w:pPr>
        <w:shd w:val="clear"/>
        <w:spacing w:line="300" w:lineRule="auto"/>
        <w:jc w:val="center"/>
        <w:rPr>
          <w:rFonts w:hint="eastAsia" w:ascii="Times New Roman" w:hAnsi="Times New Roman" w:eastAsia="黑体"/>
          <w:color w:val="000000"/>
          <w:sz w:val="28"/>
          <w:szCs w:val="28"/>
          <w:highlight w:val="none"/>
          <w:lang w:eastAsia="zh-CN"/>
        </w:rPr>
        <w:sectPr>
          <w:footerReference r:id="rId6" w:type="default"/>
          <w:footerReference r:id="rId7" w:type="even"/>
          <w:pgSz w:w="11906" w:h="16838"/>
          <w:pgMar w:top="1418" w:right="1644" w:bottom="1247" w:left="1644" w:header="851" w:footer="992" w:gutter="0"/>
          <w:cols w:space="720" w:num="1"/>
          <w:docGrid w:type="lines" w:linePitch="312" w:charSpace="0"/>
        </w:sectPr>
      </w:pPr>
      <w:r>
        <w:rPr>
          <w:rFonts w:ascii="Times New Roman" w:hAnsi="Times New Roman" w:eastAsia="黑体"/>
          <w:color w:val="000000"/>
          <w:sz w:val="28"/>
          <w:szCs w:val="28"/>
          <w:highlight w:val="none"/>
          <w:u w:val="single"/>
        </w:rPr>
        <w:t xml:space="preserve">      </w:t>
      </w:r>
      <w:bookmarkStart w:id="163" w:name="_Toc30171_WPSOffice_Level1"/>
      <w:bookmarkStart w:id="164" w:name="_Toc26258_WPSOffice_Level1"/>
      <w:bookmarkStart w:id="165" w:name="_Toc31650_WPSOffice_Level1"/>
      <w:r>
        <w:rPr>
          <w:rFonts w:hint="eastAsia" w:ascii="Times New Roman" w:hAnsi="Times New Roman" w:eastAsia="黑体"/>
          <w:color w:val="000000"/>
          <w:sz w:val="28"/>
          <w:szCs w:val="28"/>
          <w:highlight w:val="none"/>
        </w:rPr>
        <w:t>年</w:t>
      </w:r>
      <w:r>
        <w:rPr>
          <w:rFonts w:ascii="Times New Roman" w:hAnsi="Times New Roman" w:eastAsia="黑体"/>
          <w:color w:val="000000"/>
          <w:sz w:val="28"/>
          <w:szCs w:val="28"/>
          <w:highlight w:val="none"/>
        </w:rPr>
        <w:t xml:space="preserve"> </w:t>
      </w:r>
      <w:r>
        <w:rPr>
          <w:rFonts w:ascii="Times New Roman" w:hAnsi="Times New Roman" w:eastAsia="黑体"/>
          <w:color w:val="000000"/>
          <w:sz w:val="28"/>
          <w:szCs w:val="28"/>
          <w:highlight w:val="none"/>
          <w:u w:val="single"/>
        </w:rPr>
        <w:t xml:space="preserve">   </w:t>
      </w:r>
      <w:r>
        <w:rPr>
          <w:rFonts w:ascii="Times New Roman" w:hAnsi="Times New Roman" w:eastAsia="黑体"/>
          <w:color w:val="000000"/>
          <w:sz w:val="28"/>
          <w:szCs w:val="28"/>
          <w:highlight w:val="none"/>
        </w:rPr>
        <w:t xml:space="preserve"> </w:t>
      </w:r>
      <w:r>
        <w:rPr>
          <w:rFonts w:hint="eastAsia" w:ascii="Times New Roman" w:hAnsi="Times New Roman" w:eastAsia="黑体"/>
          <w:color w:val="000000"/>
          <w:sz w:val="28"/>
          <w:szCs w:val="28"/>
          <w:highlight w:val="none"/>
        </w:rPr>
        <w:t>月</w:t>
      </w:r>
      <w:bookmarkEnd w:id="163"/>
      <w:bookmarkEnd w:id="164"/>
      <w:bookmarkEnd w:id="165"/>
      <w:r>
        <w:rPr>
          <w:rFonts w:ascii="Times New Roman" w:hAnsi="Times New Roman" w:eastAsia="黑体"/>
          <w:color w:val="000000"/>
          <w:sz w:val="28"/>
          <w:szCs w:val="28"/>
          <w:highlight w:val="none"/>
        </w:rPr>
        <w:t xml:space="preserve">  </w:t>
      </w:r>
      <w:r>
        <w:rPr>
          <w:rFonts w:ascii="Times New Roman" w:hAnsi="Times New Roman" w:eastAsia="黑体"/>
          <w:color w:val="000000"/>
          <w:sz w:val="28"/>
          <w:szCs w:val="28"/>
          <w:highlight w:val="none"/>
          <w:u w:val="single"/>
        </w:rPr>
        <w:t xml:space="preserve">    </w:t>
      </w:r>
      <w:r>
        <w:rPr>
          <w:rFonts w:hint="eastAsia" w:ascii="Times New Roman" w:hAnsi="Times New Roman" w:eastAsia="黑体"/>
          <w:color w:val="000000"/>
          <w:sz w:val="28"/>
          <w:szCs w:val="28"/>
          <w:highlight w:val="none"/>
          <w:u w:val="single"/>
          <w:lang w:eastAsia="zh-CN"/>
        </w:rPr>
        <w:t>日</w:t>
      </w:r>
    </w:p>
    <w:p w14:paraId="19DBA93E">
      <w:pPr>
        <w:pStyle w:val="3"/>
        <w:shd w:val="clear"/>
        <w:spacing w:before="0" w:after="0" w:line="300" w:lineRule="auto"/>
        <w:jc w:val="center"/>
        <w:rPr>
          <w:rFonts w:ascii="Times New Roman" w:hAnsi="Times New Roman"/>
          <w:color w:val="000000"/>
          <w:highlight w:val="none"/>
        </w:rPr>
      </w:pPr>
      <w:r>
        <w:rPr>
          <w:rFonts w:hint="eastAsia" w:ascii="Times New Roman" w:hAnsi="Times New Roman"/>
          <w:color w:val="000000"/>
          <w:highlight w:val="none"/>
        </w:rPr>
        <w:t>目</w:t>
      </w:r>
      <w:r>
        <w:rPr>
          <w:rFonts w:ascii="Times New Roman" w:hAnsi="Times New Roman"/>
          <w:color w:val="000000"/>
          <w:highlight w:val="none"/>
        </w:rPr>
        <w:t xml:space="preserve">    </w:t>
      </w:r>
      <w:r>
        <w:rPr>
          <w:rFonts w:hint="eastAsia" w:ascii="Times New Roman" w:hAnsi="Times New Roman"/>
          <w:color w:val="000000"/>
          <w:highlight w:val="none"/>
        </w:rPr>
        <w:t>录</w:t>
      </w:r>
    </w:p>
    <w:p w14:paraId="3E5E42F8">
      <w:pPr>
        <w:shd w:val="clear"/>
        <w:spacing w:line="300" w:lineRule="auto"/>
        <w:rPr>
          <w:rFonts w:ascii="Times New Roman" w:hAnsi="Times New Roman"/>
          <w:color w:val="000000"/>
          <w:highlight w:val="none"/>
        </w:rPr>
      </w:pPr>
    </w:p>
    <w:p w14:paraId="36BB01FC">
      <w:pPr>
        <w:shd w:val="clear"/>
        <w:spacing w:line="360" w:lineRule="auto"/>
        <w:ind w:firstLine="480" w:firstLineChars="200"/>
        <w:rPr>
          <w:rFonts w:hint="eastAsia" w:cs="仿宋"/>
          <w:highlight w:val="none"/>
        </w:rPr>
      </w:pPr>
      <w:r>
        <w:rPr>
          <w:rFonts w:hint="eastAsia" w:cs="仿宋"/>
          <w:highlight w:val="none"/>
        </w:rPr>
        <w:t>1、投标函</w:t>
      </w:r>
    </w:p>
    <w:p w14:paraId="7872455A">
      <w:pPr>
        <w:pStyle w:val="45"/>
        <w:shd w:val="clear"/>
        <w:ind w:left="0" w:leftChars="0" w:firstLine="0" w:firstLineChars="0"/>
        <w:rPr>
          <w:highlight w:val="none"/>
        </w:rPr>
      </w:pPr>
      <w:r>
        <w:rPr>
          <w:rFonts w:hint="eastAsia"/>
          <w:highlight w:val="none"/>
        </w:rPr>
        <w:t xml:space="preserve">    2、法定代表人身份证明</w:t>
      </w:r>
    </w:p>
    <w:p w14:paraId="285235FA">
      <w:pPr>
        <w:shd w:val="clear"/>
        <w:spacing w:line="360" w:lineRule="auto"/>
        <w:ind w:firstLine="480" w:firstLineChars="200"/>
        <w:rPr>
          <w:rFonts w:cs="仿宋"/>
          <w:highlight w:val="none"/>
        </w:rPr>
      </w:pPr>
      <w:r>
        <w:rPr>
          <w:rFonts w:hint="eastAsia" w:cs="仿宋"/>
          <w:highlight w:val="none"/>
        </w:rPr>
        <w:t>3、授权委托书</w:t>
      </w:r>
    </w:p>
    <w:p w14:paraId="60EF91C0">
      <w:pPr>
        <w:shd w:val="clear"/>
        <w:spacing w:line="360" w:lineRule="auto"/>
        <w:ind w:firstLine="480" w:firstLineChars="200"/>
        <w:rPr>
          <w:rFonts w:cs="仿宋"/>
          <w:highlight w:val="none"/>
        </w:rPr>
      </w:pPr>
      <w:r>
        <w:rPr>
          <w:rFonts w:hint="eastAsia" w:cs="仿宋"/>
          <w:highlight w:val="none"/>
        </w:rPr>
        <w:t>4、投标保证金</w:t>
      </w:r>
    </w:p>
    <w:p w14:paraId="0628ABAB">
      <w:pPr>
        <w:shd w:val="clear"/>
        <w:spacing w:line="360" w:lineRule="auto"/>
        <w:ind w:firstLine="480" w:firstLineChars="200"/>
        <w:rPr>
          <w:rFonts w:cs="仿宋"/>
          <w:highlight w:val="none"/>
        </w:rPr>
      </w:pPr>
      <w:r>
        <w:rPr>
          <w:rFonts w:hint="eastAsia" w:cs="仿宋"/>
          <w:highlight w:val="none"/>
        </w:rPr>
        <w:t>5、资格审查资料</w:t>
      </w:r>
    </w:p>
    <w:p w14:paraId="0D911757">
      <w:pPr>
        <w:shd w:val="clear"/>
        <w:spacing w:line="360" w:lineRule="auto"/>
        <w:ind w:firstLine="480" w:firstLineChars="200"/>
        <w:rPr>
          <w:rFonts w:cs="仿宋"/>
          <w:highlight w:val="none"/>
        </w:rPr>
      </w:pPr>
      <w:r>
        <w:rPr>
          <w:rFonts w:hint="eastAsia" w:cs="仿宋"/>
          <w:highlight w:val="none"/>
        </w:rPr>
        <w:t>6、报价表</w:t>
      </w:r>
    </w:p>
    <w:p w14:paraId="52D40566">
      <w:pPr>
        <w:shd w:val="clear"/>
        <w:spacing w:line="360" w:lineRule="auto"/>
        <w:ind w:firstLine="480" w:firstLineChars="200"/>
        <w:rPr>
          <w:rFonts w:hint="eastAsia" w:eastAsia="宋体" w:cs="仿宋"/>
          <w:highlight w:val="none"/>
          <w:lang w:val="en-US" w:eastAsia="zh-CN"/>
        </w:rPr>
      </w:pPr>
      <w:r>
        <w:rPr>
          <w:rFonts w:hint="eastAsia" w:cs="仿宋"/>
          <w:highlight w:val="none"/>
        </w:rPr>
        <w:t>7、</w:t>
      </w:r>
      <w:r>
        <w:rPr>
          <w:rFonts w:hint="eastAsia" w:cs="仿宋"/>
          <w:highlight w:val="none"/>
          <w:lang w:val="en-US" w:eastAsia="zh-CN"/>
        </w:rPr>
        <w:t>技术</w:t>
      </w:r>
    </w:p>
    <w:p w14:paraId="06AE0EAB">
      <w:pPr>
        <w:shd w:val="clear"/>
        <w:spacing w:line="360" w:lineRule="auto"/>
        <w:ind w:firstLine="480" w:firstLineChars="200"/>
        <w:rPr>
          <w:rFonts w:cs="仿宋"/>
          <w:highlight w:val="none"/>
        </w:rPr>
      </w:pPr>
      <w:r>
        <w:rPr>
          <w:rFonts w:hint="eastAsia" w:cs="仿宋"/>
          <w:highlight w:val="none"/>
          <w:lang w:val="en-US" w:eastAsia="zh-CN"/>
        </w:rPr>
        <w:t>8、</w:t>
      </w:r>
      <w:r>
        <w:rPr>
          <w:rFonts w:hint="eastAsia" w:cs="仿宋"/>
          <w:highlight w:val="none"/>
        </w:rPr>
        <w:t>商务或技术偏差表</w:t>
      </w:r>
    </w:p>
    <w:p w14:paraId="3D8C4DC2">
      <w:pPr>
        <w:shd w:val="clear"/>
        <w:spacing w:line="360" w:lineRule="auto"/>
        <w:ind w:firstLine="480" w:firstLineChars="200"/>
        <w:rPr>
          <w:rFonts w:cs="仿宋"/>
          <w:highlight w:val="none"/>
        </w:rPr>
      </w:pPr>
      <w:r>
        <w:rPr>
          <w:rFonts w:hint="eastAsia" w:cs="仿宋"/>
          <w:highlight w:val="none"/>
          <w:lang w:val="en-US" w:eastAsia="zh-CN"/>
        </w:rPr>
        <w:t>9</w:t>
      </w:r>
      <w:r>
        <w:rPr>
          <w:rFonts w:hint="eastAsia" w:cs="仿宋"/>
          <w:highlight w:val="none"/>
        </w:rPr>
        <w:t>、投标人认为应补充的其它资料</w:t>
      </w:r>
    </w:p>
    <w:p w14:paraId="3C4C0079">
      <w:pPr>
        <w:shd w:val="clear"/>
        <w:jc w:val="center"/>
        <w:rPr>
          <w:rFonts w:ascii="Times New Roman" w:hAnsi="Times New Roman"/>
          <w:b/>
          <w:color w:val="000000"/>
          <w:highlight w:val="none"/>
        </w:rPr>
      </w:pPr>
      <w:r>
        <w:rPr>
          <w:rFonts w:ascii="Times New Roman" w:hAnsi="Times New Roman"/>
          <w:b/>
          <w:color w:val="000000"/>
          <w:highlight w:val="none"/>
        </w:rPr>
        <w:br w:type="page"/>
      </w:r>
    </w:p>
    <w:p w14:paraId="6D9C079C">
      <w:pPr>
        <w:pStyle w:val="4"/>
        <w:shd w:val="clear"/>
        <w:spacing w:before="0" w:after="0" w:line="300" w:lineRule="auto"/>
        <w:jc w:val="left"/>
        <w:rPr>
          <w:b w:val="0"/>
          <w:bCs w:val="0"/>
          <w:color w:val="000000"/>
          <w:sz w:val="24"/>
          <w:szCs w:val="24"/>
          <w:highlight w:val="none"/>
        </w:rPr>
      </w:pPr>
      <w:bookmarkStart w:id="166" w:name="_Toc4141_WPSOffice_Level1"/>
      <w:bookmarkStart w:id="167" w:name="_Toc15065_WPSOffice_Level1"/>
      <w:r>
        <w:rPr>
          <w:rFonts w:hint="eastAsia"/>
          <w:b w:val="0"/>
          <w:bCs w:val="0"/>
          <w:color w:val="000000"/>
          <w:sz w:val="24"/>
          <w:szCs w:val="24"/>
          <w:highlight w:val="none"/>
        </w:rPr>
        <w:t>1、投标函</w:t>
      </w:r>
      <w:bookmarkEnd w:id="166"/>
      <w:bookmarkEnd w:id="167"/>
    </w:p>
    <w:p w14:paraId="4AB4B7FD">
      <w:pPr>
        <w:shd w:val="clear"/>
        <w:spacing w:line="300" w:lineRule="auto"/>
        <w:rPr>
          <w:rFonts w:ascii="Times New Roman" w:hAnsi="Times New Roman"/>
          <w:color w:val="000000"/>
          <w:szCs w:val="21"/>
          <w:highlight w:val="none"/>
        </w:rPr>
      </w:pP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（招标人名称）：</w:t>
      </w:r>
    </w:p>
    <w:p w14:paraId="298039E7">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1</w:t>
      </w:r>
      <w:r>
        <w:rPr>
          <w:rFonts w:hint="eastAsia" w:ascii="Times New Roman" w:hAnsi="Times New Roman"/>
          <w:color w:val="000000"/>
          <w:szCs w:val="21"/>
          <w:highlight w:val="none"/>
        </w:rPr>
        <w:t>．我方已仔细研究了</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（项目名称）招标文件的全部内容，愿意以人民币（大写）</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r>
        <w:rPr>
          <w:rFonts w:ascii="Times New Roman" w:hAnsi="Times New Roman"/>
          <w:color w:val="000000"/>
          <w:szCs w:val="21"/>
          <w:highlight w:val="none"/>
        </w:rPr>
        <w:t>¥</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r>
        <w:rPr>
          <w:rFonts w:hint="eastAsia" w:ascii="Times New Roman" w:hAnsi="Times New Roman"/>
          <w:color w:val="000000"/>
          <w:szCs w:val="21"/>
          <w:highlight w:val="none"/>
          <w:lang w:val="en-US" w:eastAsia="zh-CN"/>
        </w:rPr>
        <w:t>含</w:t>
      </w:r>
      <w:r>
        <w:rPr>
          <w:rFonts w:hint="eastAsia" w:ascii="Times New Roman" w:hAnsi="Times New Roman"/>
          <w:color w:val="000000"/>
          <w:szCs w:val="21"/>
          <w:highlight w:val="none"/>
          <w:u w:val="single"/>
          <w:lang w:val="en-US" w:eastAsia="zh-CN"/>
        </w:rPr>
        <w:t xml:space="preserve">   </w:t>
      </w:r>
      <w:r>
        <w:rPr>
          <w:rFonts w:hint="eastAsia" w:ascii="Times New Roman" w:hAnsi="Times New Roman"/>
          <w:color w:val="000000"/>
          <w:szCs w:val="21"/>
          <w:highlight w:val="none"/>
          <w:u w:val="none"/>
          <w:lang w:val="en-US" w:eastAsia="zh-CN"/>
        </w:rPr>
        <w:t>%增值税</w:t>
      </w:r>
      <w:r>
        <w:rPr>
          <w:rFonts w:hint="eastAsia" w:ascii="Times New Roman" w:hAnsi="Times New Roman"/>
          <w:color w:val="000000"/>
          <w:szCs w:val="21"/>
          <w:highlight w:val="none"/>
        </w:rPr>
        <w:t>的总报价</w:t>
      </w:r>
      <w:r>
        <w:rPr>
          <w:rFonts w:hint="eastAsia" w:ascii="Times New Roman" w:hAnsi="Times New Roman"/>
          <w:color w:val="000000"/>
          <w:szCs w:val="21"/>
          <w:highlight w:val="none"/>
          <w:lang w:eastAsia="zh-CN"/>
        </w:rPr>
        <w:t>，</w:t>
      </w:r>
      <w:r>
        <w:rPr>
          <w:rFonts w:hint="eastAsia" w:ascii="Times New Roman" w:hAnsi="Times New Roman"/>
          <w:color w:val="000000"/>
          <w:szCs w:val="21"/>
          <w:highlight w:val="none"/>
        </w:rPr>
        <w:t>按合同约定</w:t>
      </w:r>
      <w:r>
        <w:rPr>
          <w:rFonts w:hint="eastAsia"/>
          <w:highlight w:val="none"/>
        </w:rPr>
        <w:t>履行所有义务</w:t>
      </w:r>
      <w:r>
        <w:rPr>
          <w:rFonts w:hint="eastAsia" w:ascii="Times New Roman" w:hAnsi="Times New Roman"/>
          <w:color w:val="000000"/>
          <w:szCs w:val="21"/>
          <w:highlight w:val="none"/>
        </w:rPr>
        <w:t>。</w:t>
      </w:r>
    </w:p>
    <w:p w14:paraId="2ED89FA6">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2</w:t>
      </w:r>
      <w:r>
        <w:rPr>
          <w:rFonts w:hint="eastAsia" w:ascii="Times New Roman" w:hAnsi="Times New Roman"/>
          <w:color w:val="000000"/>
          <w:szCs w:val="21"/>
          <w:highlight w:val="none"/>
        </w:rPr>
        <w:t>．我方承诺在招标文件规定的招标有效期内不修改、撤销投标文件。</w:t>
      </w:r>
    </w:p>
    <w:p w14:paraId="1E1D2F18">
      <w:pPr>
        <w:shd w:val="clear"/>
        <w:spacing w:line="300" w:lineRule="auto"/>
        <w:ind w:firstLine="480" w:firstLineChars="200"/>
        <w:rPr>
          <w:rFonts w:hint="default" w:ascii="Times New Roman" w:hAnsi="Times New Roman" w:eastAsia="宋体"/>
          <w:color w:val="000000"/>
          <w:szCs w:val="21"/>
          <w:highlight w:val="none"/>
          <w:lang w:val="en-US" w:eastAsia="zh-CN"/>
        </w:rPr>
      </w:pPr>
      <w:r>
        <w:rPr>
          <w:rFonts w:ascii="Times New Roman" w:hAnsi="Times New Roman"/>
          <w:color w:val="000000"/>
          <w:szCs w:val="21"/>
          <w:highlight w:val="none"/>
        </w:rPr>
        <w:t>3</w:t>
      </w:r>
      <w:r>
        <w:rPr>
          <w:rFonts w:hint="eastAsia" w:ascii="Times New Roman" w:hAnsi="Times New Roman"/>
          <w:color w:val="000000"/>
          <w:szCs w:val="21"/>
          <w:highlight w:val="none"/>
        </w:rPr>
        <w:t>．随同本报价函提交投标保证金一份，金额为人民币（大写）</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r>
        <w:rPr>
          <w:rFonts w:ascii="Times New Roman" w:hAnsi="Times New Roman"/>
          <w:color w:val="000000"/>
          <w:szCs w:val="21"/>
          <w:highlight w:val="none"/>
        </w:rPr>
        <w:t>¥</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p>
    <w:p w14:paraId="4E3AC238">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4</w:t>
      </w:r>
      <w:r>
        <w:rPr>
          <w:rFonts w:hint="eastAsia" w:ascii="Times New Roman" w:hAnsi="Times New Roman"/>
          <w:color w:val="000000"/>
          <w:szCs w:val="21"/>
          <w:highlight w:val="none"/>
        </w:rPr>
        <w:t>．如我方中标：</w:t>
      </w:r>
    </w:p>
    <w:p w14:paraId="03551E26">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1</w:t>
      </w:r>
      <w:r>
        <w:rPr>
          <w:rFonts w:hint="eastAsia" w:ascii="Times New Roman" w:hAnsi="Times New Roman"/>
          <w:color w:val="000000"/>
          <w:szCs w:val="21"/>
          <w:highlight w:val="none"/>
        </w:rPr>
        <w:t>）我方承诺在收到中标通知书后，在中标通知书规定的期限内与你方签订合同。</w:t>
      </w:r>
    </w:p>
    <w:p w14:paraId="5291FE98">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2</w:t>
      </w:r>
      <w:r>
        <w:rPr>
          <w:rFonts w:hint="eastAsia" w:ascii="Times New Roman" w:hAnsi="Times New Roman"/>
          <w:color w:val="000000"/>
          <w:szCs w:val="21"/>
          <w:highlight w:val="none"/>
        </w:rPr>
        <w:t>）随同本报价函递交的报价函附录属于合同文件的组成部分。</w:t>
      </w:r>
    </w:p>
    <w:p w14:paraId="37EC240B">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3</w:t>
      </w:r>
      <w:r>
        <w:rPr>
          <w:rFonts w:hint="eastAsia" w:ascii="Times New Roman" w:hAnsi="Times New Roman"/>
          <w:color w:val="000000"/>
          <w:szCs w:val="21"/>
          <w:highlight w:val="none"/>
        </w:rPr>
        <w:t>）我方承诺按照招标文件规定向你方递交履约担保。</w:t>
      </w:r>
    </w:p>
    <w:p w14:paraId="3E1DD8A0">
      <w:pPr>
        <w:shd w:val="clear"/>
        <w:spacing w:line="300" w:lineRule="auto"/>
        <w:ind w:firstLine="820" w:firstLineChars="342"/>
        <w:rPr>
          <w:rFonts w:ascii="Times New Roman" w:hAnsi="Times New Roman"/>
          <w:color w:val="000000"/>
          <w:szCs w:val="21"/>
          <w:highlight w:val="none"/>
        </w:rPr>
      </w:pPr>
      <w:r>
        <w:rPr>
          <w:rFonts w:hint="eastAsia" w:ascii="Times New Roman" w:hAnsi="Times New Roman"/>
          <w:color w:val="000000"/>
          <w:szCs w:val="21"/>
          <w:highlight w:val="none"/>
        </w:rPr>
        <w:t>（</w:t>
      </w:r>
      <w:r>
        <w:rPr>
          <w:rFonts w:ascii="Times New Roman" w:hAnsi="Times New Roman"/>
          <w:color w:val="000000"/>
          <w:szCs w:val="21"/>
          <w:highlight w:val="none"/>
        </w:rPr>
        <w:t>4</w:t>
      </w:r>
      <w:r>
        <w:rPr>
          <w:rFonts w:hint="eastAsia" w:ascii="Times New Roman" w:hAnsi="Times New Roman"/>
          <w:color w:val="000000"/>
          <w:szCs w:val="21"/>
          <w:highlight w:val="none"/>
        </w:rPr>
        <w:t>）我方承诺在合同约定的期限交付货物。</w:t>
      </w:r>
    </w:p>
    <w:p w14:paraId="4521B364">
      <w:pPr>
        <w:shd w:val="clear"/>
        <w:spacing w:line="300" w:lineRule="auto"/>
        <w:ind w:firstLine="480" w:firstLineChars="200"/>
        <w:rPr>
          <w:rFonts w:ascii="Times New Roman" w:hAnsi="Times New Roman"/>
          <w:color w:val="000000"/>
          <w:highlight w:val="none"/>
        </w:rPr>
      </w:pPr>
      <w:r>
        <w:rPr>
          <w:rFonts w:ascii="Times New Roman" w:hAnsi="Times New Roman"/>
          <w:color w:val="000000"/>
          <w:szCs w:val="21"/>
          <w:highlight w:val="none"/>
        </w:rPr>
        <w:t>5</w:t>
      </w:r>
      <w:r>
        <w:rPr>
          <w:rFonts w:hint="eastAsia" w:ascii="Times New Roman" w:hAnsi="Times New Roman"/>
          <w:color w:val="000000"/>
          <w:szCs w:val="21"/>
          <w:highlight w:val="none"/>
        </w:rPr>
        <w:t>．</w:t>
      </w:r>
      <w:r>
        <w:rPr>
          <w:rFonts w:hint="eastAsia" w:ascii="Times New Roman" w:hAnsi="Times New Roman"/>
          <w:color w:val="000000"/>
          <w:highlight w:val="none"/>
        </w:rPr>
        <w:t>我方在此声明，所递交的投标文件及有关资料内容完整、真实和准确。</w:t>
      </w:r>
    </w:p>
    <w:p w14:paraId="480862DB">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highlight w:val="none"/>
        </w:rPr>
        <w:t>6.</w:t>
      </w:r>
      <w:r>
        <w:rPr>
          <w:rFonts w:ascii="Times New Roman" w:hAnsi="Times New Roman" w:eastAsia="仿宋_GB2312"/>
          <w:color w:val="000000"/>
          <w:sz w:val="28"/>
          <w:highlight w:val="none"/>
        </w:rPr>
        <w:t xml:space="preserve"> </w:t>
      </w:r>
      <w:r>
        <w:rPr>
          <w:rFonts w:hint="eastAsia" w:ascii="Times New Roman" w:hAnsi="Times New Roman"/>
          <w:color w:val="000000"/>
          <w:highlight w:val="none"/>
        </w:rPr>
        <w:t>我方承诺参加招标活动近三年内无违法犯罪及其它不良行为记录，如有经行政主管部门查实或通报的不良记录，我方放弃参加本次项目招标的权利，并无条件承担相应后果和损失。</w:t>
      </w:r>
    </w:p>
    <w:p w14:paraId="49C8BDB3">
      <w:pPr>
        <w:shd w:val="clear"/>
        <w:spacing w:line="300" w:lineRule="auto"/>
        <w:ind w:firstLine="480" w:firstLineChars="200"/>
        <w:rPr>
          <w:rFonts w:ascii="Times New Roman" w:hAnsi="Times New Roman"/>
          <w:color w:val="000000"/>
          <w:szCs w:val="21"/>
          <w:highlight w:val="none"/>
        </w:rPr>
      </w:pPr>
      <w:r>
        <w:rPr>
          <w:rFonts w:ascii="Times New Roman" w:hAnsi="Times New Roman"/>
          <w:color w:val="000000"/>
          <w:szCs w:val="21"/>
          <w:highlight w:val="none"/>
        </w:rPr>
        <w:t>7</w:t>
      </w:r>
      <w:r>
        <w:rPr>
          <w:rFonts w:hint="eastAsia" w:ascii="Times New Roman" w:hAnsi="Times New Roman"/>
          <w:color w:val="000000"/>
          <w:szCs w:val="21"/>
          <w:highlight w:val="none"/>
        </w:rPr>
        <w:t>．</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（其他补充说明）。</w:t>
      </w:r>
    </w:p>
    <w:p w14:paraId="08A8F69B">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投标人：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（盖单位章）</w:t>
      </w:r>
    </w:p>
    <w:p w14:paraId="7967DBE4">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法定代表人：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（签字并盖章）</w:t>
      </w:r>
    </w:p>
    <w:p w14:paraId="771C5246">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委托代理人：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w:t>
      </w:r>
    </w:p>
    <w:p w14:paraId="529F2421">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地址：</w:t>
      </w:r>
      <w:r>
        <w:rPr>
          <w:rFonts w:ascii="Times New Roman" w:hAnsi="Times New Roman"/>
          <w:color w:val="000000"/>
          <w:szCs w:val="21"/>
          <w:highlight w:val="none"/>
          <w:u w:val="single"/>
        </w:rPr>
        <w:t xml:space="preserve">                                     </w:t>
      </w:r>
    </w:p>
    <w:p w14:paraId="67ACDC3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网址：</w:t>
      </w:r>
      <w:r>
        <w:rPr>
          <w:rFonts w:ascii="Times New Roman" w:hAnsi="Times New Roman"/>
          <w:color w:val="000000"/>
          <w:szCs w:val="21"/>
          <w:highlight w:val="none"/>
          <w:u w:val="single"/>
        </w:rPr>
        <w:t xml:space="preserve">                                     </w:t>
      </w:r>
    </w:p>
    <w:p w14:paraId="407B344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电话：</w:t>
      </w:r>
      <w:r>
        <w:rPr>
          <w:rFonts w:ascii="Times New Roman" w:hAnsi="Times New Roman"/>
          <w:color w:val="000000"/>
          <w:szCs w:val="21"/>
          <w:highlight w:val="none"/>
          <w:u w:val="single"/>
        </w:rPr>
        <w:t xml:space="preserve">                                     </w:t>
      </w:r>
    </w:p>
    <w:p w14:paraId="621EB53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传真：</w:t>
      </w:r>
      <w:r>
        <w:rPr>
          <w:rFonts w:ascii="Times New Roman" w:hAnsi="Times New Roman"/>
          <w:color w:val="000000"/>
          <w:szCs w:val="21"/>
          <w:highlight w:val="none"/>
          <w:u w:val="single"/>
        </w:rPr>
        <w:t xml:space="preserve">                                     </w:t>
      </w:r>
    </w:p>
    <w:p w14:paraId="78E3A3AE">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邮政编码：</w:t>
      </w:r>
      <w:r>
        <w:rPr>
          <w:rFonts w:ascii="Times New Roman" w:hAnsi="Times New Roman"/>
          <w:color w:val="000000"/>
          <w:szCs w:val="21"/>
          <w:highlight w:val="none"/>
          <w:u w:val="single"/>
        </w:rPr>
        <w:t xml:space="preserve">                                 </w:t>
      </w:r>
    </w:p>
    <w:p w14:paraId="30A6DAFF">
      <w:pPr>
        <w:shd w:val="clear"/>
        <w:spacing w:line="300" w:lineRule="auto"/>
        <w:ind w:firstLine="120" w:firstLineChars="50"/>
        <w:jc w:val="right"/>
        <w:rPr>
          <w:rFonts w:ascii="Times New Roman" w:hAnsi="Times New Roman"/>
          <w:color w:val="000000"/>
          <w:szCs w:val="21"/>
          <w:highlight w:val="none"/>
          <w:u w:val="single"/>
        </w:rPr>
      </w:pPr>
    </w:p>
    <w:p w14:paraId="4F87F8B2">
      <w:pPr>
        <w:shd w:val="clear"/>
        <w:spacing w:line="300" w:lineRule="auto"/>
        <w:ind w:firstLine="120" w:firstLineChars="50"/>
        <w:jc w:val="right"/>
        <w:rPr>
          <w:rFonts w:ascii="Times New Roman" w:hAnsi="Times New Roman"/>
          <w:color w:val="000000"/>
          <w:szCs w:val="21"/>
          <w:highlight w:val="none"/>
        </w:rPr>
      </w:pPr>
      <w:r>
        <w:rPr>
          <w:rFonts w:hint="eastAsia" w:ascii="Times New Roman" w:hAnsi="Times New Roman"/>
          <w:color w:val="000000"/>
          <w:szCs w:val="21"/>
          <w:highlight w:val="none"/>
        </w:rPr>
        <w:t xml:space="preserve">               </w:t>
      </w:r>
      <w:r>
        <w:rPr>
          <w:rFonts w:hint="eastAsia" w:ascii="Times New Roman" w:hAnsi="Times New Roman"/>
          <w:color w:val="000000"/>
          <w:szCs w:val="21"/>
          <w:highlight w:val="none"/>
          <w:u w:val="single"/>
        </w:rPr>
        <w:t xml:space="preserve">    </w:t>
      </w:r>
      <w:r>
        <w:rPr>
          <w:rFonts w:hint="eastAsia" w:ascii="Times New Roman" w:hAnsi="Times New Roman"/>
          <w:color w:val="000000"/>
          <w:szCs w:val="21"/>
          <w:highlight w:val="none"/>
        </w:rPr>
        <w:t>年</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月</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日</w:t>
      </w:r>
    </w:p>
    <w:p w14:paraId="761DA4B0">
      <w:pPr>
        <w:shd w:val="clear"/>
        <w:spacing w:line="300" w:lineRule="auto"/>
        <w:ind w:firstLine="5760" w:firstLineChars="2400"/>
        <w:rPr>
          <w:rFonts w:ascii="Times New Roman" w:hAnsi="Times New Roman"/>
          <w:color w:val="000000"/>
          <w:szCs w:val="21"/>
          <w:highlight w:val="none"/>
        </w:rPr>
      </w:pPr>
    </w:p>
    <w:p w14:paraId="7BDC8BF7">
      <w:pPr>
        <w:keepNext/>
        <w:keepLines/>
        <w:shd w:val="clear"/>
        <w:spacing w:before="240" w:beforeLines="100" w:after="120" w:line="520" w:lineRule="exact"/>
        <w:ind w:right="601"/>
        <w:outlineLvl w:val="1"/>
        <w:rPr>
          <w:rFonts w:cs="仿宋"/>
          <w:highlight w:val="none"/>
        </w:rPr>
      </w:pPr>
      <w:r>
        <w:rPr>
          <w:rFonts w:ascii="Times New Roman" w:hAnsi="Times New Roman" w:eastAsia="黑体"/>
          <w:color w:val="000000"/>
          <w:sz w:val="20"/>
          <w:highlight w:val="none"/>
        </w:rPr>
        <w:br w:type="page"/>
      </w:r>
      <w:bookmarkStart w:id="168" w:name="_Toc31858_WPSOffice_Level1"/>
      <w:bookmarkStart w:id="169" w:name="_Toc13673_WPSOffice_Level1"/>
      <w:r>
        <w:rPr>
          <w:rFonts w:hint="eastAsia" w:cs="仿宋"/>
          <w:highlight w:val="none"/>
        </w:rPr>
        <w:t>2、</w:t>
      </w:r>
      <w:r>
        <w:rPr>
          <w:rFonts w:hint="eastAsia" w:cs="仿宋"/>
          <w:highlight w:val="none"/>
          <w:lang w:val="zh-TW" w:eastAsia="zh-TW"/>
        </w:rPr>
        <w:t>法定代表人身份证明</w:t>
      </w:r>
      <w:bookmarkEnd w:id="168"/>
      <w:bookmarkEnd w:id="169"/>
    </w:p>
    <w:p w14:paraId="2CA3DA67">
      <w:pPr>
        <w:pStyle w:val="3"/>
        <w:shd w:val="clear"/>
        <w:spacing w:before="0" w:after="0" w:line="300" w:lineRule="auto"/>
        <w:jc w:val="center"/>
        <w:rPr>
          <w:rFonts w:hint="eastAsia" w:ascii="Times New Roman" w:hAnsi="Times New Roman"/>
          <w:b w:val="0"/>
          <w:bCs w:val="0"/>
          <w:color w:val="000000"/>
          <w:highlight w:val="none"/>
          <w:lang w:val="zh-TW" w:eastAsia="zh-TW"/>
        </w:rPr>
      </w:pPr>
      <w:r>
        <w:rPr>
          <w:rFonts w:hint="eastAsia" w:ascii="Times New Roman" w:hAnsi="Times New Roman"/>
          <w:b w:val="0"/>
          <w:bCs w:val="0"/>
          <w:color w:val="000000"/>
          <w:highlight w:val="none"/>
          <w:lang w:val="zh-TW" w:eastAsia="zh-TW"/>
        </w:rPr>
        <w:t>法定代表人身份证明(适用于法定代表人投标时)</w:t>
      </w:r>
    </w:p>
    <w:p w14:paraId="2B59D3D6">
      <w:pPr>
        <w:shd w:val="clear"/>
        <w:tabs>
          <w:tab w:val="left" w:leader="underscore" w:pos="3773"/>
        </w:tabs>
        <w:spacing w:before="240" w:beforeLines="100" w:line="520" w:lineRule="exact"/>
        <w:rPr>
          <w:rFonts w:ascii="仿宋" w:hAnsi="仿宋" w:eastAsia="仿宋"/>
          <w:sz w:val="28"/>
          <w:szCs w:val="28"/>
          <w:highlight w:val="none"/>
        </w:rPr>
      </w:pPr>
      <w:r>
        <w:rPr>
          <w:rFonts w:hint="eastAsia"/>
          <w:highlight w:val="none"/>
        </w:rPr>
        <w:t>投标人名称：</w:t>
      </w:r>
      <w:r>
        <w:rPr>
          <w:rFonts w:ascii="仿宋" w:hAnsi="仿宋" w:eastAsia="仿宋"/>
          <w:sz w:val="28"/>
          <w:szCs w:val="28"/>
          <w:highlight w:val="none"/>
        </w:rPr>
        <w:tab/>
      </w:r>
    </w:p>
    <w:p w14:paraId="09449F9B">
      <w:pPr>
        <w:shd w:val="clear"/>
        <w:tabs>
          <w:tab w:val="left" w:leader="underscore" w:pos="2304"/>
          <w:tab w:val="left" w:leader="underscore" w:pos="3773"/>
          <w:tab w:val="left" w:leader="underscore" w:pos="5262"/>
          <w:tab w:val="left" w:leader="underscore" w:pos="6715"/>
        </w:tabs>
        <w:spacing w:line="520" w:lineRule="exact"/>
        <w:rPr>
          <w:rFonts w:ascii="仿宋" w:hAnsi="仿宋" w:eastAsia="仿宋"/>
          <w:sz w:val="28"/>
          <w:szCs w:val="28"/>
          <w:highlight w:val="none"/>
        </w:rPr>
      </w:pPr>
      <w:r>
        <w:rPr>
          <w:rFonts w:hint="eastAsia"/>
          <w:highlight w:val="none"/>
        </w:rPr>
        <w:t>姓名</w:t>
      </w:r>
      <w:r>
        <w:rPr>
          <w:rFonts w:ascii="仿宋" w:hAnsi="仿宋" w:eastAsia="仿宋"/>
          <w:sz w:val="28"/>
          <w:szCs w:val="28"/>
          <w:highlight w:val="none"/>
        </w:rPr>
        <w:t>：</w:t>
      </w:r>
      <w:r>
        <w:rPr>
          <w:rFonts w:ascii="仿宋" w:hAnsi="仿宋" w:eastAsia="仿宋"/>
          <w:sz w:val="28"/>
          <w:szCs w:val="28"/>
          <w:highlight w:val="none"/>
        </w:rPr>
        <w:tab/>
      </w:r>
      <w:r>
        <w:rPr>
          <w:rFonts w:hint="eastAsia"/>
          <w:highlight w:val="none"/>
        </w:rPr>
        <w:t>性别：</w:t>
      </w:r>
      <w:r>
        <w:rPr>
          <w:rFonts w:ascii="仿宋" w:hAnsi="仿宋" w:eastAsia="仿宋"/>
          <w:sz w:val="28"/>
          <w:szCs w:val="28"/>
          <w:highlight w:val="none"/>
        </w:rPr>
        <w:tab/>
      </w:r>
      <w:r>
        <w:rPr>
          <w:rFonts w:hint="eastAsia"/>
          <w:highlight w:val="none"/>
        </w:rPr>
        <w:t>年龄</w:t>
      </w:r>
      <w:r>
        <w:rPr>
          <w:rFonts w:ascii="仿宋" w:hAnsi="仿宋" w:eastAsia="仿宋"/>
          <w:sz w:val="28"/>
          <w:szCs w:val="28"/>
          <w:highlight w:val="none"/>
        </w:rPr>
        <w:t>：</w:t>
      </w:r>
      <w:r>
        <w:rPr>
          <w:rFonts w:ascii="仿宋" w:hAnsi="仿宋" w:eastAsia="仿宋"/>
          <w:sz w:val="28"/>
          <w:szCs w:val="28"/>
          <w:highlight w:val="none"/>
        </w:rPr>
        <w:tab/>
      </w:r>
      <w:r>
        <w:rPr>
          <w:rFonts w:hint="eastAsia"/>
          <w:highlight w:val="none"/>
        </w:rPr>
        <w:t>职务：</w:t>
      </w:r>
      <w:r>
        <w:rPr>
          <w:rFonts w:ascii="仿宋" w:hAnsi="仿宋" w:eastAsia="仿宋"/>
          <w:sz w:val="28"/>
          <w:szCs w:val="28"/>
          <w:highlight w:val="none"/>
        </w:rPr>
        <w:tab/>
      </w:r>
    </w:p>
    <w:p w14:paraId="18339A9E">
      <w:pPr>
        <w:shd w:val="clear"/>
        <w:tabs>
          <w:tab w:val="left" w:leader="underscore" w:pos="2731"/>
        </w:tabs>
        <w:spacing w:line="520" w:lineRule="exact"/>
        <w:rPr>
          <w:rFonts w:ascii="仿宋" w:hAnsi="仿宋" w:eastAsia="仿宋"/>
          <w:sz w:val="28"/>
          <w:szCs w:val="28"/>
          <w:highlight w:val="none"/>
        </w:rPr>
      </w:pPr>
      <w:r>
        <w:rPr>
          <w:rFonts w:hint="eastAsia"/>
          <w:highlight w:val="none"/>
        </w:rPr>
        <w:t>系</w:t>
      </w:r>
      <w:r>
        <w:rPr>
          <w:rFonts w:ascii="仿宋" w:hAnsi="仿宋" w:eastAsia="仿宋"/>
          <w:sz w:val="28"/>
          <w:szCs w:val="28"/>
          <w:highlight w:val="none"/>
        </w:rPr>
        <w:tab/>
      </w:r>
      <w:r>
        <w:rPr>
          <w:rFonts w:ascii="仿宋" w:hAnsi="仿宋" w:eastAsia="仿宋"/>
          <w:sz w:val="28"/>
          <w:szCs w:val="28"/>
          <w:highlight w:val="none"/>
        </w:rPr>
        <w:t>(</w:t>
      </w:r>
      <w:r>
        <w:rPr>
          <w:rFonts w:hint="eastAsia"/>
          <w:highlight w:val="none"/>
        </w:rPr>
        <w:t>投标人名称）的法定代表人（单位负责人)</w:t>
      </w:r>
    </w:p>
    <w:p w14:paraId="658D4E13">
      <w:pPr>
        <w:shd w:val="clear"/>
        <w:tabs>
          <w:tab w:val="left" w:leader="underscore" w:pos="2731"/>
        </w:tabs>
        <w:spacing w:line="520" w:lineRule="exact"/>
        <w:rPr>
          <w:rFonts w:hint="eastAsia"/>
          <w:highlight w:val="none"/>
        </w:rPr>
      </w:pPr>
      <w:r>
        <w:rPr>
          <w:rFonts w:hint="eastAsia"/>
          <w:highlight w:val="none"/>
        </w:rPr>
        <w:t>特此证明。</w:t>
      </w:r>
    </w:p>
    <w:p w14:paraId="3DE84E42">
      <w:pPr>
        <w:shd w:val="clear"/>
        <w:tabs>
          <w:tab w:val="left" w:leader="underscore" w:pos="2731"/>
        </w:tabs>
        <w:spacing w:line="520" w:lineRule="exact"/>
        <w:rPr>
          <w:rFonts w:hint="eastAsia"/>
          <w:highlight w:val="none"/>
        </w:rPr>
      </w:pPr>
      <w:r>
        <w:rPr>
          <w:rFonts w:hint="eastAsia"/>
          <w:highlight w:val="none"/>
        </w:rPr>
        <w:t>附：法定代表人（单位负责人）身份证复印件。</w:t>
      </w:r>
    </w:p>
    <w:p w14:paraId="2C834DEC">
      <w:pPr>
        <w:shd w:val="clear"/>
        <w:tabs>
          <w:tab w:val="left" w:leader="underscore" w:pos="2731"/>
        </w:tabs>
        <w:spacing w:line="520" w:lineRule="exact"/>
        <w:rPr>
          <w:rFonts w:hint="eastAsia"/>
          <w:highlight w:val="none"/>
        </w:rPr>
      </w:pPr>
      <w:r>
        <w:rPr>
          <w:rFonts w:hint="eastAsia"/>
          <w:highlight w:val="none"/>
        </w:rPr>
        <w:t>注：本身份证明需由投标人加盖单位公章。</w:t>
      </w:r>
    </w:p>
    <w:p w14:paraId="7F23ED0E">
      <w:pPr>
        <w:shd w:val="clear"/>
        <w:spacing w:after="1057" w:line="520" w:lineRule="exact"/>
        <w:rPr>
          <w:rFonts w:ascii="仿宋" w:hAnsi="仿宋" w:eastAsia="仿宋"/>
          <w:sz w:val="28"/>
          <w:szCs w:val="28"/>
          <w:highlight w:val="none"/>
        </w:rPr>
      </w:pPr>
    </w:p>
    <w:p w14:paraId="61F761BC">
      <w:pPr>
        <w:shd w:val="clear"/>
        <w:tabs>
          <w:tab w:val="left" w:leader="underscore" w:pos="6434"/>
        </w:tabs>
        <w:spacing w:after="642" w:line="520" w:lineRule="exact"/>
        <w:ind w:left="4140"/>
        <w:rPr>
          <w:rFonts w:hint="eastAsia"/>
          <w:highlight w:val="none"/>
        </w:rPr>
      </w:pPr>
      <w:r>
        <w:rPr>
          <w:rFonts w:hint="eastAsia"/>
          <w:color w:val="000000"/>
          <w:spacing w:val="-10"/>
          <w:highlight w:val="none"/>
          <w:lang w:val="zh-TW" w:eastAsia="zh-TW" w:bidi="zh-TW"/>
        </w:rPr>
        <w:t>投标人：</w:t>
      </w:r>
      <w:r>
        <w:rPr>
          <w:rFonts w:hint="eastAsia"/>
          <w:highlight w:val="none"/>
        </w:rPr>
        <w:tab/>
      </w:r>
      <w:r>
        <w:rPr>
          <w:rFonts w:hint="eastAsia"/>
          <w:highlight w:val="none"/>
        </w:rPr>
        <w:t>(单位公章)</w:t>
      </w:r>
    </w:p>
    <w:p w14:paraId="1330FB3A">
      <w:pPr>
        <w:shd w:val="clear"/>
        <w:tabs>
          <w:tab w:val="left" w:leader="underscore" w:pos="5262"/>
          <w:tab w:val="left" w:leader="underscore" w:pos="5980"/>
          <w:tab w:val="left" w:leader="underscore" w:pos="6958"/>
        </w:tabs>
        <w:spacing w:line="520" w:lineRule="exact"/>
        <w:ind w:left="4640"/>
        <w:rPr>
          <w:rFonts w:hint="eastAsia"/>
          <w:highlight w:val="none"/>
        </w:rPr>
      </w:pPr>
      <w:r>
        <w:rPr>
          <w:rFonts w:hint="eastAsia"/>
          <w:highlight w:val="none"/>
        </w:rPr>
        <w:t>年月日</w:t>
      </w:r>
    </w:p>
    <w:p w14:paraId="6FF23DF9">
      <w:pPr>
        <w:shd w:val="clear"/>
        <w:spacing w:line="360" w:lineRule="auto"/>
        <w:ind w:firstLine="400" w:firstLineChars="200"/>
        <w:rPr>
          <w:rFonts w:ascii="Times New Roman" w:hAnsi="Times New Roman" w:eastAsia="黑体"/>
          <w:color w:val="000000"/>
          <w:sz w:val="20"/>
          <w:highlight w:val="none"/>
        </w:rPr>
      </w:pPr>
    </w:p>
    <w:p w14:paraId="27B6BD3E">
      <w:pPr>
        <w:pStyle w:val="45"/>
        <w:shd w:val="clear"/>
        <w:ind w:left="480" w:firstLine="400"/>
        <w:rPr>
          <w:rFonts w:eastAsia="黑体"/>
          <w:color w:val="000000"/>
          <w:sz w:val="20"/>
          <w:highlight w:val="none"/>
        </w:rPr>
      </w:pPr>
    </w:p>
    <w:p w14:paraId="0BB2930B">
      <w:pPr>
        <w:pStyle w:val="45"/>
        <w:shd w:val="clear"/>
        <w:ind w:left="480" w:firstLine="400"/>
        <w:rPr>
          <w:rFonts w:eastAsia="黑体"/>
          <w:color w:val="000000"/>
          <w:sz w:val="20"/>
          <w:highlight w:val="none"/>
        </w:rPr>
      </w:pPr>
    </w:p>
    <w:p w14:paraId="4C8A6FC8">
      <w:pPr>
        <w:pStyle w:val="45"/>
        <w:shd w:val="clear"/>
        <w:ind w:left="480" w:firstLine="400"/>
        <w:rPr>
          <w:rFonts w:eastAsia="黑体"/>
          <w:color w:val="000000"/>
          <w:sz w:val="20"/>
          <w:highlight w:val="none"/>
        </w:rPr>
      </w:pPr>
    </w:p>
    <w:p w14:paraId="4F050150">
      <w:pPr>
        <w:pStyle w:val="45"/>
        <w:shd w:val="clear"/>
        <w:ind w:left="480" w:firstLine="400"/>
        <w:rPr>
          <w:rFonts w:eastAsia="黑体"/>
          <w:color w:val="000000"/>
          <w:sz w:val="20"/>
          <w:highlight w:val="none"/>
        </w:rPr>
      </w:pPr>
    </w:p>
    <w:p w14:paraId="33B5D99F">
      <w:pPr>
        <w:pStyle w:val="45"/>
        <w:shd w:val="clear"/>
        <w:ind w:left="480" w:firstLine="400"/>
        <w:rPr>
          <w:rFonts w:eastAsia="黑体"/>
          <w:color w:val="000000"/>
          <w:sz w:val="20"/>
          <w:highlight w:val="none"/>
        </w:rPr>
      </w:pPr>
    </w:p>
    <w:p w14:paraId="6E951FDA">
      <w:pPr>
        <w:pStyle w:val="45"/>
        <w:shd w:val="clear"/>
        <w:ind w:left="480" w:firstLine="400"/>
        <w:rPr>
          <w:rFonts w:eastAsia="黑体"/>
          <w:color w:val="000000"/>
          <w:sz w:val="20"/>
          <w:highlight w:val="none"/>
        </w:rPr>
      </w:pPr>
    </w:p>
    <w:p w14:paraId="7A572A3A">
      <w:pPr>
        <w:pStyle w:val="45"/>
        <w:shd w:val="clear"/>
        <w:ind w:left="480" w:firstLine="400"/>
        <w:rPr>
          <w:rFonts w:eastAsia="黑体"/>
          <w:color w:val="000000"/>
          <w:sz w:val="20"/>
          <w:highlight w:val="none"/>
        </w:rPr>
      </w:pPr>
    </w:p>
    <w:p w14:paraId="3D6B8BA4">
      <w:pPr>
        <w:pStyle w:val="45"/>
        <w:shd w:val="clear"/>
        <w:ind w:left="480" w:firstLine="400"/>
        <w:rPr>
          <w:rFonts w:eastAsia="黑体"/>
          <w:color w:val="000000"/>
          <w:sz w:val="20"/>
          <w:highlight w:val="none"/>
        </w:rPr>
      </w:pPr>
    </w:p>
    <w:p w14:paraId="75AA2924">
      <w:pPr>
        <w:pStyle w:val="45"/>
        <w:shd w:val="clear"/>
        <w:ind w:left="480" w:firstLine="400"/>
        <w:rPr>
          <w:rFonts w:eastAsia="黑体"/>
          <w:color w:val="000000"/>
          <w:sz w:val="20"/>
          <w:highlight w:val="none"/>
        </w:rPr>
      </w:pPr>
    </w:p>
    <w:p w14:paraId="00935F87">
      <w:pPr>
        <w:pStyle w:val="45"/>
        <w:shd w:val="clear"/>
        <w:ind w:left="480" w:firstLine="400"/>
        <w:rPr>
          <w:rFonts w:eastAsia="黑体"/>
          <w:color w:val="000000"/>
          <w:sz w:val="20"/>
          <w:highlight w:val="none"/>
        </w:rPr>
      </w:pPr>
    </w:p>
    <w:p w14:paraId="691C6DCE">
      <w:pPr>
        <w:pStyle w:val="45"/>
        <w:shd w:val="clear"/>
        <w:ind w:left="480" w:firstLine="400"/>
        <w:rPr>
          <w:rFonts w:eastAsia="黑体"/>
          <w:color w:val="000000"/>
          <w:sz w:val="20"/>
          <w:highlight w:val="none"/>
        </w:rPr>
      </w:pPr>
    </w:p>
    <w:p w14:paraId="1D1E1C3C">
      <w:pPr>
        <w:pStyle w:val="45"/>
        <w:shd w:val="clear"/>
        <w:ind w:left="480" w:firstLine="400"/>
        <w:rPr>
          <w:rFonts w:eastAsia="黑体"/>
          <w:color w:val="000000"/>
          <w:sz w:val="20"/>
          <w:highlight w:val="none"/>
        </w:rPr>
      </w:pPr>
    </w:p>
    <w:p w14:paraId="50494F00">
      <w:pPr>
        <w:pStyle w:val="45"/>
        <w:shd w:val="clear"/>
        <w:ind w:left="480" w:firstLine="400"/>
        <w:rPr>
          <w:rFonts w:eastAsia="黑体"/>
          <w:color w:val="000000"/>
          <w:sz w:val="20"/>
          <w:highlight w:val="none"/>
        </w:rPr>
      </w:pPr>
    </w:p>
    <w:p w14:paraId="66C7DA0C">
      <w:pPr>
        <w:pStyle w:val="45"/>
        <w:shd w:val="clear"/>
        <w:ind w:left="480" w:firstLine="400"/>
        <w:rPr>
          <w:rFonts w:eastAsia="黑体"/>
          <w:color w:val="000000"/>
          <w:sz w:val="20"/>
          <w:highlight w:val="none"/>
        </w:rPr>
      </w:pPr>
    </w:p>
    <w:p w14:paraId="596511E6">
      <w:pPr>
        <w:pStyle w:val="45"/>
        <w:shd w:val="clear"/>
        <w:ind w:left="480" w:firstLine="400"/>
        <w:rPr>
          <w:rFonts w:eastAsia="黑体"/>
          <w:color w:val="000000"/>
          <w:sz w:val="20"/>
          <w:highlight w:val="none"/>
        </w:rPr>
      </w:pPr>
    </w:p>
    <w:p w14:paraId="5EA3470C">
      <w:pPr>
        <w:pStyle w:val="45"/>
        <w:shd w:val="clear"/>
        <w:ind w:left="480" w:firstLine="400"/>
        <w:rPr>
          <w:rFonts w:eastAsia="黑体"/>
          <w:color w:val="000000"/>
          <w:sz w:val="20"/>
          <w:highlight w:val="none"/>
        </w:rPr>
      </w:pPr>
    </w:p>
    <w:p w14:paraId="01E552F8">
      <w:pPr>
        <w:shd w:val="clear"/>
        <w:spacing w:line="360" w:lineRule="auto"/>
        <w:ind w:firstLine="480" w:firstLineChars="200"/>
        <w:rPr>
          <w:rFonts w:cs="仿宋"/>
          <w:highlight w:val="none"/>
        </w:rPr>
      </w:pPr>
      <w:bookmarkStart w:id="170" w:name="_Toc25293_WPSOffice_Level1"/>
      <w:bookmarkStart w:id="171" w:name="_Toc14_WPSOffice_Level1"/>
      <w:r>
        <w:rPr>
          <w:rFonts w:hint="eastAsia" w:cs="仿宋"/>
          <w:highlight w:val="none"/>
        </w:rPr>
        <w:t>3、授权委托书</w:t>
      </w:r>
      <w:bookmarkEnd w:id="170"/>
      <w:bookmarkEnd w:id="171"/>
    </w:p>
    <w:p w14:paraId="72BB81F7">
      <w:pPr>
        <w:pStyle w:val="3"/>
        <w:shd w:val="clear"/>
        <w:spacing w:before="0" w:after="0" w:line="300" w:lineRule="auto"/>
        <w:jc w:val="center"/>
        <w:rPr>
          <w:rFonts w:ascii="Times New Roman" w:hAnsi="Times New Roman"/>
          <w:b w:val="0"/>
          <w:bCs w:val="0"/>
          <w:color w:val="000000"/>
          <w:highlight w:val="none"/>
        </w:rPr>
      </w:pPr>
      <w:r>
        <w:rPr>
          <w:rFonts w:hint="eastAsia" w:ascii="Times New Roman" w:hAnsi="Times New Roman"/>
          <w:b w:val="0"/>
          <w:bCs w:val="0"/>
          <w:color w:val="000000"/>
          <w:highlight w:val="none"/>
        </w:rPr>
        <w:t>授权委托书</w:t>
      </w:r>
      <w:r>
        <w:rPr>
          <w:rFonts w:hint="eastAsia" w:ascii="仿宋" w:hAnsi="仿宋" w:eastAsia="仿宋" w:cs="MingLiU"/>
          <w:color w:val="000000"/>
          <w:sz w:val="30"/>
          <w:szCs w:val="30"/>
          <w:highlight w:val="none"/>
          <w:shd w:val="clear" w:color="auto" w:fill="FFFFFF"/>
          <w:lang w:val="zh-TW" w:eastAsia="zh-TW" w:bidi="zh-TW"/>
        </w:rPr>
        <w:t>(适用于委托代理人投标时)</w:t>
      </w:r>
    </w:p>
    <w:p w14:paraId="4C94FD9A">
      <w:pPr>
        <w:shd w:val="clear"/>
        <w:spacing w:line="300" w:lineRule="auto"/>
        <w:rPr>
          <w:rFonts w:ascii="Times New Roman" w:hAnsi="Times New Roman" w:eastAsia="黑体"/>
          <w:color w:val="000000"/>
          <w:szCs w:val="21"/>
          <w:highlight w:val="none"/>
        </w:rPr>
      </w:pPr>
    </w:p>
    <w:p w14:paraId="6AA4DD32">
      <w:pPr>
        <w:shd w:val="clear"/>
        <w:topLinePunct/>
        <w:spacing w:line="300" w:lineRule="auto"/>
        <w:ind w:firstLine="480" w:firstLineChars="200"/>
        <w:rPr>
          <w:rFonts w:ascii="Times New Roman" w:hAnsi="Times New Roman"/>
          <w:color w:val="000000"/>
          <w:szCs w:val="21"/>
          <w:highlight w:val="none"/>
        </w:rPr>
      </w:pPr>
      <w:r>
        <w:rPr>
          <w:rFonts w:hint="eastAsia" w:ascii="Times New Roman" w:hAnsi="Times New Roman"/>
          <w:color w:val="000000"/>
          <w:szCs w:val="21"/>
          <w:highlight w:val="none"/>
        </w:rPr>
        <w:t>本人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（姓名）系</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（名称）的法定代表人，现委托</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（姓名）为我方代理人。代理人根据授权，以我方名义签署、澄清、说明、补正、递交、撤回、修改</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（项目名称）投标文件、签订合同和处理有关事宜，其法律后果由我方承担。</w:t>
      </w:r>
    </w:p>
    <w:p w14:paraId="7E8A3C9C">
      <w:pPr>
        <w:shd w:val="clear"/>
        <w:spacing w:line="300" w:lineRule="auto"/>
        <w:rPr>
          <w:rFonts w:ascii="Times New Roman" w:hAnsi="Times New Roman"/>
          <w:color w:val="000000"/>
          <w:szCs w:val="21"/>
          <w:highlight w:val="none"/>
        </w:rPr>
      </w:pPr>
      <w:r>
        <w:rPr>
          <w:rFonts w:ascii="Times New Roman" w:hAnsi="Times New Roman"/>
          <w:color w:val="000000"/>
          <w:szCs w:val="21"/>
          <w:highlight w:val="none"/>
        </w:rPr>
        <w:t xml:space="preserve">    </w:t>
      </w:r>
      <w:r>
        <w:rPr>
          <w:rFonts w:hint="eastAsia" w:ascii="Times New Roman" w:hAnsi="Times New Roman"/>
          <w:color w:val="000000"/>
          <w:szCs w:val="21"/>
          <w:highlight w:val="none"/>
        </w:rPr>
        <w:t>委托期限：</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w:t>
      </w:r>
    </w:p>
    <w:p w14:paraId="446078DA">
      <w:pPr>
        <w:shd w:val="clear"/>
        <w:spacing w:line="300" w:lineRule="auto"/>
        <w:ind w:firstLine="480" w:firstLineChars="200"/>
        <w:rPr>
          <w:rFonts w:ascii="Times New Roman" w:hAnsi="Times New Roman"/>
          <w:color w:val="000000"/>
          <w:szCs w:val="21"/>
          <w:highlight w:val="none"/>
        </w:rPr>
      </w:pPr>
      <w:r>
        <w:rPr>
          <w:rFonts w:hint="eastAsia" w:ascii="Times New Roman" w:hAnsi="Times New Roman"/>
          <w:color w:val="000000"/>
          <w:szCs w:val="21"/>
          <w:highlight w:val="none"/>
        </w:rPr>
        <w:t>代理人无转委托权。</w:t>
      </w:r>
    </w:p>
    <w:p w14:paraId="19DD4985">
      <w:pPr>
        <w:shd w:val="clear"/>
        <w:topLinePunct/>
        <w:spacing w:line="360" w:lineRule="auto"/>
        <w:ind w:firstLine="480" w:firstLineChars="200"/>
        <w:rPr>
          <w:rFonts w:cs="仿宋"/>
          <w:highlight w:val="none"/>
        </w:rPr>
      </w:pPr>
      <w:r>
        <w:rPr>
          <w:rFonts w:hint="eastAsia" w:cs="仿宋"/>
          <w:highlight w:val="none"/>
        </w:rPr>
        <w:t>附：（1）法定代表人身份证复印件。</w:t>
      </w:r>
    </w:p>
    <w:p w14:paraId="2D5B932A">
      <w:pPr>
        <w:shd w:val="clear"/>
        <w:topLinePunct/>
        <w:spacing w:line="360" w:lineRule="auto"/>
        <w:ind w:firstLine="960" w:firstLineChars="400"/>
        <w:rPr>
          <w:rFonts w:hint="eastAsia" w:cs="仿宋"/>
          <w:highlight w:val="none"/>
        </w:rPr>
      </w:pPr>
      <w:r>
        <w:rPr>
          <w:rFonts w:hint="eastAsia" w:cs="仿宋"/>
          <w:highlight w:val="none"/>
        </w:rPr>
        <w:t>（2）委托代理人身份证复印件。</w:t>
      </w:r>
    </w:p>
    <w:p w14:paraId="20744F5F">
      <w:pPr>
        <w:shd w:val="clear"/>
        <w:spacing w:line="300" w:lineRule="auto"/>
        <w:rPr>
          <w:rFonts w:ascii="Times New Roman" w:hAnsi="Times New Roman"/>
          <w:color w:val="000000"/>
          <w:szCs w:val="21"/>
          <w:highlight w:val="none"/>
        </w:rPr>
      </w:pPr>
    </w:p>
    <w:p w14:paraId="2DC5E1EC">
      <w:pPr>
        <w:shd w:val="clear"/>
        <w:spacing w:line="300" w:lineRule="auto"/>
        <w:rPr>
          <w:rFonts w:ascii="Times New Roman" w:hAnsi="Times New Roman"/>
          <w:color w:val="000000"/>
          <w:szCs w:val="21"/>
          <w:highlight w:val="none"/>
        </w:rPr>
      </w:pPr>
    </w:p>
    <w:p w14:paraId="66326EF7">
      <w:pPr>
        <w:shd w:val="clear"/>
        <w:spacing w:line="300" w:lineRule="auto"/>
        <w:rPr>
          <w:rFonts w:ascii="Times New Roman" w:hAnsi="Times New Roman"/>
          <w:color w:val="000000"/>
          <w:szCs w:val="21"/>
          <w:highlight w:val="none"/>
        </w:rPr>
      </w:pPr>
    </w:p>
    <w:p w14:paraId="711B7FFC">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投标人：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（盖单位章）</w:t>
      </w:r>
    </w:p>
    <w:p w14:paraId="62EE4AFB">
      <w:pPr>
        <w:shd w:val="clear"/>
        <w:spacing w:line="300" w:lineRule="auto"/>
        <w:rPr>
          <w:rFonts w:ascii="Times New Roman" w:hAnsi="Times New Roman"/>
          <w:color w:val="000000"/>
          <w:szCs w:val="21"/>
          <w:highlight w:val="none"/>
        </w:rPr>
      </w:pPr>
    </w:p>
    <w:p w14:paraId="464B27F8">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法定代表人：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（签字并盖章）</w:t>
      </w:r>
    </w:p>
    <w:p w14:paraId="1CBF8A53">
      <w:pPr>
        <w:shd w:val="clear"/>
        <w:spacing w:line="300" w:lineRule="auto"/>
        <w:rPr>
          <w:rFonts w:ascii="Times New Roman" w:hAnsi="Times New Roman"/>
          <w:color w:val="000000"/>
          <w:szCs w:val="21"/>
          <w:highlight w:val="none"/>
        </w:rPr>
      </w:pPr>
    </w:p>
    <w:p w14:paraId="12DC5432">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身份证号码：</w:t>
      </w:r>
      <w:r>
        <w:rPr>
          <w:rFonts w:ascii="Times New Roman" w:hAnsi="Times New Roman"/>
          <w:color w:val="000000"/>
          <w:szCs w:val="21"/>
          <w:highlight w:val="none"/>
          <w:u w:val="single"/>
        </w:rPr>
        <w:t xml:space="preserve">                                     </w:t>
      </w:r>
    </w:p>
    <w:p w14:paraId="16792CDC">
      <w:pPr>
        <w:shd w:val="clear"/>
        <w:spacing w:line="300" w:lineRule="auto"/>
        <w:rPr>
          <w:rFonts w:ascii="Times New Roman" w:hAnsi="Times New Roman"/>
          <w:color w:val="000000"/>
          <w:szCs w:val="21"/>
          <w:highlight w:val="none"/>
        </w:rPr>
      </w:pPr>
    </w:p>
    <w:p w14:paraId="0F99C8A0">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委托代理人：</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（签字）</w:t>
      </w:r>
      <w:r>
        <w:rPr>
          <w:rFonts w:ascii="Times New Roman" w:hAnsi="Times New Roman"/>
          <w:color w:val="000000"/>
          <w:szCs w:val="21"/>
          <w:highlight w:val="none"/>
        </w:rPr>
        <w:t xml:space="preserve"> </w:t>
      </w:r>
    </w:p>
    <w:p w14:paraId="105AACE3">
      <w:pPr>
        <w:shd w:val="clear"/>
        <w:spacing w:line="300" w:lineRule="auto"/>
        <w:rPr>
          <w:rFonts w:ascii="Times New Roman" w:hAnsi="Times New Roman"/>
          <w:color w:val="000000"/>
          <w:szCs w:val="21"/>
          <w:highlight w:val="none"/>
        </w:rPr>
      </w:pPr>
    </w:p>
    <w:p w14:paraId="08D634EB">
      <w:pPr>
        <w:shd w:val="clear"/>
        <w:spacing w:line="300" w:lineRule="auto"/>
        <w:rPr>
          <w:rFonts w:ascii="Times New Roman" w:hAnsi="Times New Roman"/>
          <w:color w:val="000000"/>
          <w:szCs w:val="21"/>
          <w:highlight w:val="none"/>
        </w:rPr>
      </w:pPr>
      <w:r>
        <w:rPr>
          <w:rFonts w:hint="eastAsia" w:ascii="Times New Roman" w:hAnsi="Times New Roman"/>
          <w:color w:val="000000"/>
          <w:szCs w:val="21"/>
          <w:highlight w:val="none"/>
        </w:rPr>
        <w:t>身份证号码：</w:t>
      </w:r>
      <w:r>
        <w:rPr>
          <w:rFonts w:ascii="Times New Roman" w:hAnsi="Times New Roman"/>
          <w:color w:val="000000"/>
          <w:szCs w:val="21"/>
          <w:highlight w:val="none"/>
          <w:u w:val="single"/>
        </w:rPr>
        <w:t xml:space="preserve">                                      </w:t>
      </w:r>
    </w:p>
    <w:p w14:paraId="1ED41647">
      <w:pPr>
        <w:shd w:val="clear"/>
        <w:spacing w:line="300" w:lineRule="auto"/>
        <w:rPr>
          <w:rFonts w:ascii="Times New Roman" w:hAnsi="Times New Roman"/>
          <w:color w:val="000000"/>
          <w:szCs w:val="21"/>
          <w:highlight w:val="none"/>
        </w:rPr>
      </w:pPr>
    </w:p>
    <w:p w14:paraId="67B1F8B2">
      <w:pPr>
        <w:shd w:val="clear"/>
        <w:spacing w:line="300" w:lineRule="auto"/>
        <w:rPr>
          <w:rFonts w:ascii="Times New Roman" w:hAnsi="Times New Roman"/>
          <w:color w:val="000000"/>
          <w:szCs w:val="21"/>
          <w:highlight w:val="none"/>
        </w:rPr>
      </w:pPr>
    </w:p>
    <w:p w14:paraId="5964E2A8">
      <w:pPr>
        <w:shd w:val="clear"/>
        <w:spacing w:line="300" w:lineRule="auto"/>
        <w:ind w:firstLine="2640" w:firstLineChars="1100"/>
        <w:rPr>
          <w:rFonts w:ascii="Times New Roman" w:hAnsi="Times New Roman" w:eastAsia="黑体"/>
          <w:color w:val="000000"/>
          <w:szCs w:val="21"/>
          <w:highlight w:val="none"/>
        </w:rPr>
      </w:pP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年</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月</w:t>
      </w:r>
      <w:r>
        <w:rPr>
          <w:rFonts w:ascii="Times New Roman" w:hAnsi="Times New Roman"/>
          <w:color w:val="000000"/>
          <w:szCs w:val="21"/>
          <w:highlight w:val="none"/>
          <w:u w:val="single"/>
        </w:rPr>
        <w:t xml:space="preserve">       </w:t>
      </w:r>
      <w:r>
        <w:rPr>
          <w:rFonts w:hint="eastAsia" w:ascii="Times New Roman" w:hAnsi="Times New Roman"/>
          <w:color w:val="000000"/>
          <w:szCs w:val="21"/>
          <w:highlight w:val="none"/>
        </w:rPr>
        <w:t>日</w:t>
      </w:r>
    </w:p>
    <w:p w14:paraId="15A351A1">
      <w:pPr>
        <w:shd w:val="clear"/>
        <w:spacing w:line="300" w:lineRule="auto"/>
        <w:ind w:left="480" w:hanging="482" w:hangingChars="200"/>
        <w:rPr>
          <w:rFonts w:ascii="Times New Roman" w:hAnsi="Times New Roman" w:eastAsia="楷体_GB2312"/>
          <w:b/>
          <w:color w:val="000000"/>
          <w:highlight w:val="none"/>
          <w:lang w:val="zh-CN"/>
        </w:rPr>
      </w:pPr>
    </w:p>
    <w:p w14:paraId="3D58896B">
      <w:pPr>
        <w:shd w:val="clear"/>
        <w:spacing w:line="300" w:lineRule="auto"/>
        <w:rPr>
          <w:rFonts w:ascii="Times New Roman" w:hAnsi="Times New Roman" w:eastAsia="黑体"/>
          <w:color w:val="000000"/>
          <w:sz w:val="20"/>
          <w:highlight w:val="none"/>
        </w:rPr>
      </w:pPr>
    </w:p>
    <w:p w14:paraId="2340ADCA">
      <w:pPr>
        <w:pStyle w:val="3"/>
        <w:shd w:val="clear"/>
        <w:spacing w:before="0" w:after="0" w:line="300" w:lineRule="auto"/>
        <w:jc w:val="center"/>
        <w:rPr>
          <w:rFonts w:hint="eastAsia" w:ascii="Times New Roman" w:hAnsi="Times New Roman"/>
          <w:color w:val="000000"/>
          <w:highlight w:val="none"/>
        </w:rPr>
      </w:pPr>
    </w:p>
    <w:p w14:paraId="019BB116">
      <w:pPr>
        <w:pStyle w:val="3"/>
        <w:shd w:val="clear"/>
        <w:spacing w:before="0" w:after="0" w:line="300" w:lineRule="auto"/>
        <w:jc w:val="center"/>
        <w:rPr>
          <w:rFonts w:hint="eastAsia" w:ascii="Times New Roman" w:hAnsi="Times New Roman"/>
          <w:color w:val="000000"/>
          <w:highlight w:val="none"/>
        </w:rPr>
      </w:pPr>
    </w:p>
    <w:p w14:paraId="55DD06DB">
      <w:pPr>
        <w:pStyle w:val="3"/>
        <w:shd w:val="clear"/>
        <w:spacing w:before="0" w:after="0" w:line="300" w:lineRule="auto"/>
        <w:jc w:val="center"/>
        <w:rPr>
          <w:rFonts w:hint="eastAsia" w:ascii="Times New Roman" w:hAnsi="Times New Roman"/>
          <w:color w:val="000000"/>
          <w:highlight w:val="none"/>
        </w:rPr>
      </w:pPr>
    </w:p>
    <w:p w14:paraId="27E24FC3">
      <w:pPr>
        <w:pStyle w:val="3"/>
        <w:shd w:val="clear"/>
        <w:spacing w:before="0" w:after="0" w:line="300" w:lineRule="auto"/>
        <w:jc w:val="center"/>
        <w:rPr>
          <w:rFonts w:hint="eastAsia" w:ascii="Times New Roman" w:hAnsi="Times New Roman"/>
          <w:color w:val="000000"/>
          <w:highlight w:val="none"/>
        </w:rPr>
      </w:pPr>
    </w:p>
    <w:p w14:paraId="4C56FAFD">
      <w:pPr>
        <w:shd w:val="clear"/>
        <w:rPr>
          <w:rFonts w:hint="eastAsia"/>
          <w:highlight w:val="none"/>
        </w:rPr>
      </w:pPr>
    </w:p>
    <w:p w14:paraId="06934E29">
      <w:pPr>
        <w:shd w:val="clear"/>
        <w:spacing w:line="300" w:lineRule="auto"/>
        <w:jc w:val="center"/>
        <w:rPr>
          <w:rFonts w:hint="eastAsia" w:ascii="Times New Roman" w:hAnsi="Times New Roman" w:eastAsia="黑体" w:cs="Times New Roman"/>
          <w:color w:val="000000"/>
          <w:sz w:val="32"/>
          <w:szCs w:val="32"/>
          <w:highlight w:val="none"/>
        </w:rPr>
      </w:pPr>
    </w:p>
    <w:p w14:paraId="23C530A6">
      <w:pPr>
        <w:shd w:val="clear"/>
        <w:spacing w:line="300" w:lineRule="auto"/>
        <w:jc w:val="center"/>
        <w:rPr>
          <w:rFonts w:hint="eastAsia" w:ascii="Times New Roman" w:hAnsi="Times New Roman" w:eastAsia="黑体" w:cs="Times New Roman"/>
          <w:color w:val="000000"/>
          <w:sz w:val="32"/>
          <w:szCs w:val="32"/>
          <w:highlight w:val="none"/>
        </w:rPr>
      </w:pPr>
    </w:p>
    <w:p w14:paraId="4A319CF6">
      <w:pPr>
        <w:shd w:val="clear"/>
        <w:spacing w:line="300" w:lineRule="auto"/>
        <w:jc w:val="center"/>
        <w:rPr>
          <w:rFonts w:hint="eastAsia" w:ascii="Times New Roman" w:hAnsi="Times New Roman" w:eastAsia="黑体" w:cs="Times New Roman"/>
          <w:color w:val="000000"/>
          <w:sz w:val="32"/>
          <w:szCs w:val="32"/>
          <w:highlight w:val="none"/>
        </w:rPr>
      </w:pPr>
    </w:p>
    <w:p w14:paraId="01CA4AC8">
      <w:pPr>
        <w:shd w:val="clear"/>
        <w:spacing w:line="300" w:lineRule="auto"/>
        <w:jc w:val="center"/>
        <w:rPr>
          <w:rFonts w:hint="eastAsia" w:ascii="Times New Roman" w:hAnsi="Times New Roman" w:eastAsia="黑体" w:cs="Times New Roman"/>
          <w:color w:val="000000"/>
          <w:sz w:val="32"/>
          <w:szCs w:val="32"/>
          <w:highlight w:val="none"/>
        </w:rPr>
      </w:pPr>
    </w:p>
    <w:p w14:paraId="6685C18A">
      <w:pPr>
        <w:shd w:val="clear"/>
        <w:spacing w:line="300" w:lineRule="auto"/>
        <w:jc w:val="center"/>
        <w:rPr>
          <w:rFonts w:hint="eastAsia" w:ascii="Times New Roman" w:hAnsi="Times New Roman" w:eastAsia="黑体" w:cs="Times New Roman"/>
          <w:color w:val="000000"/>
          <w:sz w:val="32"/>
          <w:szCs w:val="32"/>
          <w:highlight w:val="none"/>
        </w:rPr>
      </w:pPr>
      <w:bookmarkStart w:id="172" w:name="_Toc22089_WPSOffice_Level1"/>
      <w:bookmarkStart w:id="173" w:name="_Toc20722_WPSOffice_Level1"/>
      <w:r>
        <w:rPr>
          <w:rFonts w:hint="eastAsia" w:ascii="Times New Roman" w:hAnsi="Times New Roman" w:eastAsia="黑体" w:cs="Times New Roman"/>
          <w:color w:val="000000"/>
          <w:sz w:val="32"/>
          <w:szCs w:val="32"/>
          <w:highlight w:val="none"/>
        </w:rPr>
        <w:t>4、投标保证金</w:t>
      </w:r>
      <w:bookmarkEnd w:id="172"/>
      <w:bookmarkEnd w:id="173"/>
    </w:p>
    <w:p w14:paraId="277F6B57">
      <w:pPr>
        <w:shd w:val="clear"/>
        <w:spacing w:line="560" w:lineRule="exact"/>
        <w:ind w:firstLine="480" w:firstLineChars="200"/>
        <w:rPr>
          <w:rFonts w:hint="eastAsia"/>
          <w:highlight w:val="none"/>
        </w:rPr>
      </w:pPr>
      <w:r>
        <w:rPr>
          <w:rFonts w:hint="eastAsia"/>
          <w:highlight w:val="none"/>
        </w:rPr>
        <w:t>若采用现金或支票，投标人应在此提供交款回单的复印件。</w:t>
      </w:r>
    </w:p>
    <w:p w14:paraId="579B5EE6">
      <w:pPr>
        <w:shd w:val="clear"/>
        <w:spacing w:line="300" w:lineRule="auto"/>
        <w:jc w:val="center"/>
        <w:rPr>
          <w:rFonts w:hint="eastAsia" w:ascii="Times New Roman" w:hAnsi="Times New Roman" w:eastAsia="黑体" w:cs="Times New Roman"/>
          <w:color w:val="000000"/>
          <w:sz w:val="32"/>
          <w:szCs w:val="32"/>
          <w:highlight w:val="none"/>
        </w:rPr>
      </w:pPr>
      <w:bookmarkStart w:id="174" w:name="_Toc506105877"/>
      <w:bookmarkStart w:id="175" w:name="_Toc352160852"/>
      <w:bookmarkStart w:id="176" w:name="_Toc27730_WPSOffice_Level1"/>
      <w:bookmarkStart w:id="177" w:name="_Toc391556617"/>
      <w:bookmarkStart w:id="178" w:name="_Toc508871757"/>
      <w:bookmarkStart w:id="179" w:name="_Toc20492_WPSOffice_Level1"/>
      <w:r>
        <w:rPr>
          <w:rFonts w:hint="eastAsia" w:ascii="Times New Roman" w:hAnsi="Times New Roman" w:eastAsia="黑体" w:cs="Times New Roman"/>
          <w:color w:val="000000"/>
          <w:sz w:val="32"/>
          <w:szCs w:val="32"/>
          <w:highlight w:val="none"/>
        </w:rPr>
        <w:t>5、资格审查资料</w:t>
      </w:r>
      <w:bookmarkEnd w:id="174"/>
      <w:bookmarkEnd w:id="175"/>
      <w:bookmarkEnd w:id="176"/>
      <w:bookmarkEnd w:id="177"/>
      <w:bookmarkEnd w:id="178"/>
      <w:bookmarkEnd w:id="179"/>
    </w:p>
    <w:p w14:paraId="29E6EDE4">
      <w:pPr>
        <w:shd w:val="clear"/>
        <w:spacing w:line="360" w:lineRule="auto"/>
        <w:rPr>
          <w:rFonts w:cs="仿宋"/>
          <w:bCs/>
          <w:highlight w:val="none"/>
        </w:rPr>
      </w:pPr>
      <w:bookmarkStart w:id="180" w:name="_Toc337496474"/>
      <w:r>
        <w:rPr>
          <w:rFonts w:hint="eastAsia" w:cs="仿宋"/>
          <w:bCs/>
          <w:highlight w:val="none"/>
        </w:rPr>
        <w:t>5.1</w:t>
      </w:r>
      <w:bookmarkEnd w:id="180"/>
      <w:r>
        <w:rPr>
          <w:rFonts w:hint="eastAsia" w:cs="仿宋"/>
          <w:bCs/>
          <w:highlight w:val="none"/>
        </w:rPr>
        <w:t>投标人基本情况及证书复印件</w:t>
      </w:r>
    </w:p>
    <w:p w14:paraId="5C9FDCAC">
      <w:pPr>
        <w:shd w:val="clear"/>
        <w:spacing w:line="360" w:lineRule="auto"/>
        <w:jc w:val="center"/>
        <w:rPr>
          <w:rFonts w:cs="仿宋"/>
          <w:highlight w:val="none"/>
        </w:rPr>
      </w:pPr>
      <w:r>
        <w:rPr>
          <w:rFonts w:hint="eastAsia" w:cs="仿宋"/>
          <w:b/>
          <w:highlight w:val="none"/>
        </w:rPr>
        <w:t>基本情况</w:t>
      </w:r>
    </w:p>
    <w:tbl>
      <w:tblPr>
        <w:tblStyle w:val="4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2752"/>
        <w:gridCol w:w="1147"/>
        <w:gridCol w:w="2340"/>
      </w:tblGrid>
      <w:tr w14:paraId="7436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D39463">
            <w:pPr>
              <w:shd w:val="clear"/>
              <w:topLinePunct/>
              <w:spacing w:line="360" w:lineRule="auto"/>
              <w:jc w:val="center"/>
              <w:rPr>
                <w:rFonts w:cs="仿宋"/>
                <w:highlight w:val="none"/>
              </w:rPr>
            </w:pPr>
            <w:r>
              <w:rPr>
                <w:rFonts w:hint="eastAsia" w:cs="仿宋"/>
                <w:highlight w:val="none"/>
              </w:rPr>
              <w:t>投标人名称</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2C329C4D">
            <w:pPr>
              <w:shd w:val="clear"/>
              <w:topLinePunct/>
              <w:spacing w:line="360" w:lineRule="auto"/>
              <w:jc w:val="center"/>
              <w:rPr>
                <w:rFonts w:cs="仿宋"/>
                <w:highlight w:val="none"/>
              </w:rPr>
            </w:pPr>
          </w:p>
        </w:tc>
      </w:tr>
      <w:tr w14:paraId="3C4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0EDDD7">
            <w:pPr>
              <w:shd w:val="clear"/>
              <w:topLinePunct/>
              <w:spacing w:line="360" w:lineRule="auto"/>
              <w:jc w:val="center"/>
              <w:rPr>
                <w:rFonts w:cs="仿宋"/>
                <w:highlight w:val="none"/>
              </w:rPr>
            </w:pPr>
            <w:r>
              <w:rPr>
                <w:rFonts w:hint="eastAsia" w:cs="仿宋"/>
                <w:highlight w:val="none"/>
              </w:rPr>
              <w:t>注册地址</w:t>
            </w:r>
          </w:p>
        </w:tc>
        <w:tc>
          <w:tcPr>
            <w:tcW w:w="4169" w:type="dxa"/>
            <w:gridSpan w:val="2"/>
            <w:tcBorders>
              <w:top w:val="single" w:color="000000" w:sz="4" w:space="0"/>
              <w:left w:val="single" w:color="000000" w:sz="4" w:space="0"/>
              <w:bottom w:val="single" w:color="000000" w:sz="4" w:space="0"/>
              <w:right w:val="single" w:color="000000" w:sz="4" w:space="0"/>
            </w:tcBorders>
            <w:noWrap w:val="0"/>
            <w:vAlign w:val="center"/>
          </w:tcPr>
          <w:p w14:paraId="7D8D3EA0">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84B6BB4">
            <w:pPr>
              <w:shd w:val="clear"/>
              <w:topLinePunct/>
              <w:spacing w:line="360" w:lineRule="auto"/>
              <w:ind w:left="-120" w:leftChars="-50" w:right="-120" w:rightChars="-50"/>
              <w:jc w:val="center"/>
              <w:rPr>
                <w:rFonts w:cs="仿宋"/>
                <w:highlight w:val="none"/>
              </w:rPr>
            </w:pPr>
            <w:r>
              <w:rPr>
                <w:rFonts w:hint="eastAsia" w:cs="仿宋"/>
                <w:highlight w:val="none"/>
              </w:rPr>
              <w:t>邮政编码</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FD45F72">
            <w:pPr>
              <w:shd w:val="clear"/>
              <w:topLinePunct/>
              <w:spacing w:line="360" w:lineRule="auto"/>
              <w:jc w:val="center"/>
              <w:rPr>
                <w:rFonts w:cs="仿宋"/>
                <w:highlight w:val="none"/>
              </w:rPr>
            </w:pPr>
          </w:p>
        </w:tc>
      </w:tr>
      <w:tr w14:paraId="3F88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6E41A27">
            <w:pPr>
              <w:shd w:val="clear"/>
              <w:topLinePunct/>
              <w:adjustRightInd w:val="0"/>
              <w:snapToGrid w:val="0"/>
              <w:spacing w:line="360" w:lineRule="auto"/>
              <w:jc w:val="center"/>
              <w:rPr>
                <w:rFonts w:cs="仿宋"/>
                <w:highlight w:val="none"/>
              </w:rPr>
            </w:pPr>
            <w:r>
              <w:rPr>
                <w:rFonts w:hint="eastAsia" w:cs="仿宋"/>
                <w:highlight w:val="none"/>
              </w:rPr>
              <w:t>成立或</w:t>
            </w:r>
          </w:p>
          <w:p w14:paraId="081B0323">
            <w:pPr>
              <w:shd w:val="clear"/>
              <w:topLinePunct/>
              <w:adjustRightInd w:val="0"/>
              <w:snapToGrid w:val="0"/>
              <w:spacing w:line="360" w:lineRule="auto"/>
              <w:jc w:val="center"/>
              <w:rPr>
                <w:rFonts w:cs="仿宋"/>
                <w:highlight w:val="none"/>
              </w:rPr>
            </w:pPr>
            <w:r>
              <w:rPr>
                <w:rFonts w:hint="eastAsia" w:cs="仿宋"/>
                <w:highlight w:val="none"/>
              </w:rPr>
              <w:t>注册时间</w:t>
            </w:r>
          </w:p>
        </w:tc>
        <w:tc>
          <w:tcPr>
            <w:tcW w:w="4169" w:type="dxa"/>
            <w:gridSpan w:val="2"/>
            <w:tcBorders>
              <w:top w:val="single" w:color="000000" w:sz="4" w:space="0"/>
              <w:left w:val="single" w:color="000000" w:sz="4" w:space="0"/>
              <w:bottom w:val="single" w:color="000000" w:sz="4" w:space="0"/>
              <w:right w:val="single" w:color="000000" w:sz="4" w:space="0"/>
            </w:tcBorders>
            <w:noWrap w:val="0"/>
            <w:vAlign w:val="center"/>
          </w:tcPr>
          <w:p w14:paraId="34134688">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A30A90">
            <w:pPr>
              <w:shd w:val="clear"/>
              <w:topLinePunct/>
              <w:spacing w:line="360" w:lineRule="auto"/>
              <w:ind w:left="-120" w:leftChars="-50" w:right="-120" w:rightChars="-50"/>
              <w:jc w:val="center"/>
              <w:rPr>
                <w:rFonts w:cs="仿宋"/>
                <w:highlight w:val="none"/>
              </w:rPr>
            </w:pPr>
            <w:r>
              <w:rPr>
                <w:rFonts w:hint="eastAsia" w:cs="仿宋"/>
                <w:highlight w:val="none"/>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FCBC08F">
            <w:pPr>
              <w:shd w:val="clear"/>
              <w:topLinePunct/>
              <w:spacing w:line="360" w:lineRule="auto"/>
              <w:jc w:val="center"/>
              <w:rPr>
                <w:rFonts w:cs="仿宋"/>
                <w:highlight w:val="none"/>
              </w:rPr>
            </w:pPr>
          </w:p>
        </w:tc>
      </w:tr>
      <w:tr w14:paraId="04D7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833B5D">
            <w:pPr>
              <w:shd w:val="clear"/>
              <w:topLinePunct/>
              <w:spacing w:line="360" w:lineRule="auto"/>
              <w:jc w:val="center"/>
              <w:rPr>
                <w:rFonts w:cs="仿宋"/>
                <w:highlight w:val="none"/>
              </w:rPr>
            </w:pPr>
            <w:r>
              <w:rPr>
                <w:rFonts w:hint="eastAsia" w:cs="仿宋"/>
                <w:highlight w:val="none"/>
              </w:rPr>
              <w:t>主要负责人</w:t>
            </w:r>
          </w:p>
        </w:tc>
        <w:tc>
          <w:tcPr>
            <w:tcW w:w="4169" w:type="dxa"/>
            <w:gridSpan w:val="2"/>
            <w:tcBorders>
              <w:top w:val="single" w:color="000000" w:sz="4" w:space="0"/>
              <w:left w:val="single" w:color="000000" w:sz="4" w:space="0"/>
              <w:bottom w:val="single" w:color="000000" w:sz="4" w:space="0"/>
              <w:right w:val="single" w:color="000000" w:sz="4" w:space="0"/>
            </w:tcBorders>
            <w:noWrap w:val="0"/>
            <w:vAlign w:val="center"/>
          </w:tcPr>
          <w:p w14:paraId="1A12271B">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C446CB">
            <w:pPr>
              <w:shd w:val="clear"/>
              <w:topLinePunct/>
              <w:spacing w:line="360" w:lineRule="auto"/>
              <w:ind w:left="-120" w:leftChars="-50" w:right="-120" w:rightChars="-50"/>
              <w:jc w:val="center"/>
              <w:rPr>
                <w:rFonts w:cs="仿宋"/>
                <w:highlight w:val="none"/>
              </w:rPr>
            </w:pPr>
            <w:r>
              <w:rPr>
                <w:rFonts w:hint="eastAsia" w:cs="仿宋"/>
                <w:highlight w:val="none"/>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7B4AA08">
            <w:pPr>
              <w:shd w:val="clear"/>
              <w:topLinePunct/>
              <w:spacing w:line="360" w:lineRule="auto"/>
              <w:jc w:val="center"/>
              <w:rPr>
                <w:rFonts w:cs="仿宋"/>
                <w:highlight w:val="none"/>
              </w:rPr>
            </w:pPr>
          </w:p>
        </w:tc>
      </w:tr>
      <w:tr w14:paraId="06D8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CB42F">
            <w:pPr>
              <w:shd w:val="clear"/>
              <w:topLinePunct/>
              <w:spacing w:line="360" w:lineRule="auto"/>
              <w:jc w:val="center"/>
              <w:rPr>
                <w:rFonts w:cs="仿宋"/>
                <w:highlight w:val="none"/>
              </w:rPr>
            </w:pPr>
            <w:r>
              <w:rPr>
                <w:rFonts w:hint="eastAsia" w:cs="仿宋"/>
                <w:highlight w:val="none"/>
              </w:rPr>
              <w:t>联系方式</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1E12E78">
            <w:pPr>
              <w:shd w:val="clear"/>
              <w:topLinePunct/>
              <w:spacing w:line="360" w:lineRule="auto"/>
              <w:jc w:val="center"/>
              <w:rPr>
                <w:rFonts w:cs="仿宋"/>
                <w:highlight w:val="none"/>
              </w:rPr>
            </w:pPr>
            <w:r>
              <w:rPr>
                <w:rFonts w:hint="eastAsia" w:cs="仿宋"/>
                <w:highlight w:val="none"/>
              </w:rPr>
              <w:t>联系人</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14:paraId="14007C8A">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2B9F529">
            <w:pPr>
              <w:shd w:val="clear"/>
              <w:topLinePunct/>
              <w:spacing w:line="360" w:lineRule="auto"/>
              <w:ind w:left="-120" w:leftChars="-50" w:right="-120" w:rightChars="-50"/>
              <w:jc w:val="center"/>
              <w:rPr>
                <w:rFonts w:cs="仿宋"/>
                <w:highlight w:val="none"/>
              </w:rPr>
            </w:pPr>
            <w:r>
              <w:rPr>
                <w:rFonts w:hint="eastAsia" w:cs="仿宋"/>
                <w:highlight w:val="none"/>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2CCAB19">
            <w:pPr>
              <w:shd w:val="clear"/>
              <w:topLinePunct/>
              <w:spacing w:line="360" w:lineRule="auto"/>
              <w:jc w:val="center"/>
              <w:rPr>
                <w:rFonts w:cs="仿宋"/>
                <w:highlight w:val="none"/>
              </w:rPr>
            </w:pPr>
          </w:p>
        </w:tc>
      </w:tr>
      <w:tr w14:paraId="6312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F4D7E">
            <w:pPr>
              <w:shd w:val="clear"/>
              <w:spacing w:line="360" w:lineRule="auto"/>
              <w:rPr>
                <w:rFonts w:cs="仿宋"/>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3CE610D">
            <w:pPr>
              <w:shd w:val="clear"/>
              <w:topLinePunct/>
              <w:spacing w:line="360" w:lineRule="auto"/>
              <w:jc w:val="center"/>
              <w:rPr>
                <w:rFonts w:cs="仿宋"/>
                <w:highlight w:val="none"/>
              </w:rPr>
            </w:pPr>
            <w:r>
              <w:rPr>
                <w:rFonts w:hint="eastAsia" w:cs="仿宋"/>
                <w:highlight w:val="none"/>
              </w:rPr>
              <w:t>传  真</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14:paraId="704748E4">
            <w:pPr>
              <w:shd w:val="clear"/>
              <w:topLinePunct/>
              <w:spacing w:line="360" w:lineRule="auto"/>
              <w:jc w:val="center"/>
              <w:rPr>
                <w:rFonts w:cs="仿宋"/>
                <w:highlight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6916ED3">
            <w:pPr>
              <w:shd w:val="clear"/>
              <w:topLinePunct/>
              <w:spacing w:line="360" w:lineRule="auto"/>
              <w:ind w:left="-120" w:leftChars="-50" w:right="-120" w:rightChars="-50"/>
              <w:jc w:val="center"/>
              <w:rPr>
                <w:rFonts w:cs="仿宋"/>
                <w:highlight w:val="none"/>
              </w:rPr>
            </w:pPr>
            <w:r>
              <w:rPr>
                <w:rFonts w:hint="eastAsia" w:cs="仿宋"/>
                <w:highlight w:val="none"/>
              </w:rPr>
              <w:t>电子邮箱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125ED7F8">
            <w:pPr>
              <w:shd w:val="clear"/>
              <w:topLinePunct/>
              <w:spacing w:line="360" w:lineRule="auto"/>
              <w:jc w:val="center"/>
              <w:rPr>
                <w:rFonts w:cs="仿宋"/>
                <w:highlight w:val="none"/>
              </w:rPr>
            </w:pPr>
          </w:p>
        </w:tc>
      </w:tr>
      <w:tr w14:paraId="655B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D1EA8B6">
            <w:pPr>
              <w:shd w:val="clear"/>
              <w:topLinePunct/>
              <w:spacing w:line="360" w:lineRule="auto"/>
              <w:jc w:val="both"/>
              <w:rPr>
                <w:rFonts w:cs="仿宋"/>
                <w:highlight w:val="none"/>
              </w:rPr>
            </w:pPr>
            <w:r>
              <w:rPr>
                <w:rFonts w:hint="eastAsia" w:cs="仿宋"/>
                <w:highlight w:val="none"/>
              </w:rPr>
              <w:t>企业基本情况</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60D0B3E5">
            <w:pPr>
              <w:shd w:val="clear"/>
              <w:topLinePunct/>
              <w:spacing w:line="360" w:lineRule="auto"/>
              <w:jc w:val="both"/>
              <w:rPr>
                <w:rFonts w:hint="eastAsia" w:eastAsia="宋体" w:cs="仿宋"/>
                <w:color w:val="0000FF"/>
                <w:highlight w:val="none"/>
                <w:lang w:eastAsia="zh-CN"/>
              </w:rPr>
            </w:pPr>
            <w:r>
              <w:rPr>
                <w:rFonts w:hint="eastAsia" w:cs="仿宋"/>
                <w:color w:val="auto"/>
                <w:highlight w:val="none"/>
                <w:lang w:eastAsia="zh-CN"/>
              </w:rPr>
              <w:t>经验范围：</w:t>
            </w:r>
          </w:p>
        </w:tc>
      </w:tr>
    </w:tbl>
    <w:p w14:paraId="67BD1EFE">
      <w:pPr>
        <w:shd w:val="clear"/>
        <w:topLinePunct/>
        <w:spacing w:line="360" w:lineRule="auto"/>
        <w:ind w:firstLine="480" w:firstLineChars="200"/>
        <w:rPr>
          <w:rFonts w:cs="仿宋"/>
          <w:highlight w:val="none"/>
        </w:rPr>
      </w:pPr>
      <w:r>
        <w:rPr>
          <w:rFonts w:hint="eastAsia" w:cs="仿宋"/>
          <w:highlight w:val="none"/>
        </w:rPr>
        <w:t>注：本表可</w:t>
      </w:r>
      <w:r>
        <w:rPr>
          <w:rFonts w:hint="eastAsia" w:cs="仿宋"/>
          <w:highlight w:val="none"/>
          <w:lang w:val="en-US" w:eastAsia="zh-CN"/>
        </w:rPr>
        <w:t>根据实际修改、</w:t>
      </w:r>
      <w:r>
        <w:rPr>
          <w:rFonts w:hint="eastAsia" w:cs="仿宋"/>
          <w:highlight w:val="none"/>
        </w:rPr>
        <w:t>增加</w:t>
      </w:r>
      <w:r>
        <w:rPr>
          <w:rFonts w:hint="eastAsia" w:cs="仿宋"/>
          <w:highlight w:val="none"/>
          <w:lang w:val="en-US" w:eastAsia="zh-CN"/>
        </w:rPr>
        <w:t>或</w:t>
      </w:r>
      <w:r>
        <w:rPr>
          <w:rFonts w:hint="eastAsia" w:cs="仿宋"/>
          <w:highlight w:val="none"/>
        </w:rPr>
        <w:t>扩展。</w:t>
      </w:r>
    </w:p>
    <w:p w14:paraId="4CD76598">
      <w:pPr>
        <w:shd w:val="clear"/>
        <w:topLinePunct/>
        <w:spacing w:line="360" w:lineRule="auto"/>
        <w:ind w:firstLine="480" w:firstLineChars="200"/>
        <w:rPr>
          <w:rFonts w:ascii="仿宋" w:hAnsi="仿宋" w:eastAsia="仿宋"/>
          <w:sz w:val="30"/>
          <w:szCs w:val="30"/>
          <w:highlight w:val="none"/>
        </w:rPr>
      </w:pPr>
      <w:r>
        <w:rPr>
          <w:rFonts w:hint="eastAsia" w:cs="仿宋"/>
          <w:highlight w:val="none"/>
        </w:rPr>
        <w:t>附：</w:t>
      </w:r>
      <w:r>
        <w:rPr>
          <w:rFonts w:hint="eastAsia"/>
          <w:highlight w:val="none"/>
        </w:rPr>
        <w:t>包括但不限于：营业执照、资质证书、体系认证、资信等级、人员资格证书、业绩合同、获奖证书等的复印件，加盖公章。</w:t>
      </w:r>
      <w:bookmarkStart w:id="181" w:name="_Toc426317296"/>
      <w:r>
        <w:rPr>
          <w:rFonts w:hint="eastAsia" w:cs="仿宋"/>
          <w:bCs/>
          <w:highlight w:val="none"/>
        </w:rPr>
        <w:br w:type="page"/>
      </w:r>
      <w:r>
        <w:rPr>
          <w:rFonts w:hint="eastAsia" w:cs="仿宋"/>
          <w:bCs/>
          <w:highlight w:val="none"/>
        </w:rPr>
        <w:t>5.2近3年财务状况表</w:t>
      </w:r>
    </w:p>
    <w:p w14:paraId="71D5245B">
      <w:pPr>
        <w:shd w:val="clear"/>
        <w:spacing w:line="360" w:lineRule="auto"/>
        <w:ind w:firstLine="480" w:firstLineChars="200"/>
        <w:rPr>
          <w:rFonts w:hint="eastAsia" w:cs="仿宋"/>
          <w:bCs/>
          <w:highlight w:val="none"/>
        </w:rPr>
      </w:pPr>
      <w:r>
        <w:rPr>
          <w:rFonts w:hint="eastAsia" w:cs="仿宋"/>
          <w:bCs/>
          <w:highlight w:val="none"/>
        </w:rPr>
        <w:t>投标人应根据投标人须知第3.5.2项的要求在本表后附相关证明材料。</w:t>
      </w:r>
    </w:p>
    <w:p w14:paraId="03ABDE5D">
      <w:pPr>
        <w:shd w:val="clear"/>
        <w:spacing w:line="360" w:lineRule="auto"/>
        <w:rPr>
          <w:rFonts w:cs="仿宋"/>
          <w:bCs/>
          <w:highlight w:val="none"/>
        </w:rPr>
      </w:pPr>
    </w:p>
    <w:p w14:paraId="3548A155">
      <w:pPr>
        <w:shd w:val="clear"/>
        <w:spacing w:line="360" w:lineRule="auto"/>
        <w:rPr>
          <w:rStyle w:val="96"/>
          <w:rFonts w:cs="仿宋"/>
          <w:b w:val="0"/>
          <w:highlight w:val="none"/>
        </w:rPr>
      </w:pPr>
      <w:r>
        <w:rPr>
          <w:rFonts w:hint="eastAsia" w:cs="仿宋"/>
          <w:bCs/>
          <w:highlight w:val="none"/>
        </w:rPr>
        <w:t>5.3符合资格条件的业绩汇总表</w:t>
      </w:r>
      <w:bookmarkEnd w:id="181"/>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4A5E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noWrap w:val="0"/>
            <w:vAlign w:val="center"/>
          </w:tcPr>
          <w:p w14:paraId="2DB9DC5F">
            <w:pPr>
              <w:shd w:val="clear"/>
              <w:spacing w:line="360" w:lineRule="auto"/>
              <w:jc w:val="center"/>
              <w:rPr>
                <w:rFonts w:cs="仿宋"/>
                <w:highlight w:val="none"/>
              </w:rPr>
            </w:pPr>
            <w:r>
              <w:rPr>
                <w:rFonts w:hint="eastAsia" w:cs="仿宋"/>
                <w:highlight w:val="none"/>
              </w:rPr>
              <w:t>序号</w:t>
            </w:r>
          </w:p>
        </w:tc>
        <w:tc>
          <w:tcPr>
            <w:tcW w:w="2036" w:type="dxa"/>
            <w:noWrap w:val="0"/>
            <w:vAlign w:val="center"/>
          </w:tcPr>
          <w:p w14:paraId="0BB23EA6">
            <w:pPr>
              <w:shd w:val="clear"/>
              <w:spacing w:line="360" w:lineRule="auto"/>
              <w:jc w:val="center"/>
              <w:rPr>
                <w:rFonts w:cs="仿宋"/>
                <w:highlight w:val="none"/>
              </w:rPr>
            </w:pPr>
            <w:bookmarkStart w:id="182" w:name="_Toc351401531"/>
            <w:bookmarkStart w:id="183" w:name="_Toc351401530"/>
            <w:r>
              <w:rPr>
                <w:rFonts w:hint="eastAsia" w:cs="仿宋"/>
                <w:highlight w:val="none"/>
              </w:rPr>
              <w:t>项目业主</w:t>
            </w:r>
            <w:bookmarkEnd w:id="182"/>
            <w:r>
              <w:rPr>
                <w:rFonts w:hint="eastAsia" w:cs="仿宋"/>
                <w:highlight w:val="none"/>
              </w:rPr>
              <w:t>名称</w:t>
            </w:r>
            <w:bookmarkEnd w:id="183"/>
          </w:p>
        </w:tc>
        <w:tc>
          <w:tcPr>
            <w:tcW w:w="3053" w:type="dxa"/>
            <w:noWrap w:val="0"/>
            <w:vAlign w:val="center"/>
          </w:tcPr>
          <w:p w14:paraId="2E505250">
            <w:pPr>
              <w:shd w:val="clear"/>
              <w:spacing w:line="360" w:lineRule="auto"/>
              <w:jc w:val="center"/>
              <w:rPr>
                <w:rFonts w:hint="eastAsia" w:eastAsia="宋体" w:cs="仿宋"/>
                <w:highlight w:val="none"/>
                <w:lang w:eastAsia="zh-CN"/>
              </w:rPr>
            </w:pPr>
            <w:r>
              <w:rPr>
                <w:rFonts w:hint="eastAsia" w:cs="仿宋"/>
                <w:highlight w:val="none"/>
                <w:lang w:val="en-US" w:eastAsia="zh-CN"/>
              </w:rPr>
              <w:t>合同名称</w:t>
            </w:r>
          </w:p>
        </w:tc>
        <w:tc>
          <w:tcPr>
            <w:tcW w:w="1276" w:type="dxa"/>
            <w:noWrap w:val="0"/>
            <w:vAlign w:val="center"/>
          </w:tcPr>
          <w:p w14:paraId="27BAD5AB">
            <w:pPr>
              <w:shd w:val="clear"/>
              <w:spacing w:line="360" w:lineRule="auto"/>
              <w:jc w:val="center"/>
              <w:rPr>
                <w:rFonts w:cs="仿宋"/>
                <w:highlight w:val="none"/>
              </w:rPr>
            </w:pPr>
          </w:p>
        </w:tc>
        <w:tc>
          <w:tcPr>
            <w:tcW w:w="1701" w:type="dxa"/>
            <w:noWrap w:val="0"/>
            <w:vAlign w:val="center"/>
          </w:tcPr>
          <w:p w14:paraId="5F1F94FF">
            <w:pPr>
              <w:shd w:val="clear"/>
              <w:spacing w:line="360" w:lineRule="auto"/>
              <w:jc w:val="center"/>
              <w:rPr>
                <w:rFonts w:cs="仿宋"/>
                <w:highlight w:val="none"/>
              </w:rPr>
            </w:pPr>
            <w:r>
              <w:rPr>
                <w:rFonts w:hint="eastAsia" w:cs="仿宋"/>
                <w:highlight w:val="none"/>
              </w:rPr>
              <w:t>签订日期</w:t>
            </w:r>
          </w:p>
          <w:p w14:paraId="4C1C06C3">
            <w:pPr>
              <w:shd w:val="clear"/>
              <w:spacing w:line="360" w:lineRule="auto"/>
              <w:jc w:val="center"/>
              <w:rPr>
                <w:rFonts w:cs="仿宋"/>
                <w:highlight w:val="none"/>
              </w:rPr>
            </w:pPr>
            <w:r>
              <w:rPr>
                <w:rFonts w:hint="eastAsia" w:cs="仿宋"/>
                <w:highlight w:val="none"/>
              </w:rPr>
              <w:t>（年月）</w:t>
            </w:r>
          </w:p>
        </w:tc>
      </w:tr>
      <w:tr w14:paraId="64B9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noWrap w:val="0"/>
            <w:vAlign w:val="center"/>
          </w:tcPr>
          <w:p w14:paraId="710A77B7">
            <w:pPr>
              <w:shd w:val="clear"/>
              <w:spacing w:line="360" w:lineRule="auto"/>
              <w:jc w:val="center"/>
              <w:rPr>
                <w:rFonts w:cs="仿宋"/>
                <w:highlight w:val="none"/>
              </w:rPr>
            </w:pPr>
            <w:r>
              <w:rPr>
                <w:rFonts w:hint="eastAsia" w:cs="仿宋"/>
                <w:highlight w:val="none"/>
              </w:rPr>
              <w:t>1</w:t>
            </w:r>
          </w:p>
        </w:tc>
        <w:tc>
          <w:tcPr>
            <w:tcW w:w="2036" w:type="dxa"/>
            <w:noWrap w:val="0"/>
            <w:vAlign w:val="center"/>
          </w:tcPr>
          <w:p w14:paraId="6EB906D4">
            <w:pPr>
              <w:pStyle w:val="70"/>
              <w:shd w:val="clear"/>
              <w:spacing w:beforeLines="0" w:line="360" w:lineRule="auto"/>
              <w:rPr>
                <w:rFonts w:ascii="宋体" w:hAnsi="宋体" w:cs="仿宋"/>
                <w:b w:val="0"/>
                <w:sz w:val="24"/>
                <w:szCs w:val="24"/>
                <w:highlight w:val="none"/>
                <w:lang w:val="en-US" w:eastAsia="zh-CN"/>
              </w:rPr>
            </w:pPr>
          </w:p>
        </w:tc>
        <w:tc>
          <w:tcPr>
            <w:tcW w:w="3053" w:type="dxa"/>
            <w:noWrap w:val="0"/>
            <w:vAlign w:val="center"/>
          </w:tcPr>
          <w:p w14:paraId="7EF75745">
            <w:pPr>
              <w:pStyle w:val="70"/>
              <w:shd w:val="clear"/>
              <w:spacing w:beforeLines="0" w:line="360" w:lineRule="auto"/>
              <w:rPr>
                <w:rFonts w:ascii="宋体" w:hAnsi="宋体" w:cs="仿宋"/>
                <w:b w:val="0"/>
                <w:sz w:val="24"/>
                <w:szCs w:val="24"/>
                <w:highlight w:val="none"/>
                <w:lang w:val="en-US" w:eastAsia="zh-CN"/>
              </w:rPr>
            </w:pPr>
          </w:p>
        </w:tc>
        <w:tc>
          <w:tcPr>
            <w:tcW w:w="1276" w:type="dxa"/>
            <w:noWrap w:val="0"/>
            <w:vAlign w:val="center"/>
          </w:tcPr>
          <w:p w14:paraId="69C9E154">
            <w:pPr>
              <w:pStyle w:val="70"/>
              <w:shd w:val="clear"/>
              <w:spacing w:beforeLines="0" w:line="360" w:lineRule="auto"/>
              <w:rPr>
                <w:rFonts w:ascii="宋体" w:hAnsi="宋体" w:cs="仿宋"/>
                <w:b w:val="0"/>
                <w:sz w:val="24"/>
                <w:szCs w:val="24"/>
                <w:highlight w:val="none"/>
                <w:lang w:val="en-US" w:eastAsia="zh-CN"/>
              </w:rPr>
            </w:pPr>
          </w:p>
        </w:tc>
        <w:tc>
          <w:tcPr>
            <w:tcW w:w="1701" w:type="dxa"/>
            <w:noWrap w:val="0"/>
            <w:vAlign w:val="center"/>
          </w:tcPr>
          <w:p w14:paraId="6CD022BB">
            <w:pPr>
              <w:pStyle w:val="70"/>
              <w:shd w:val="clear"/>
              <w:spacing w:beforeLines="0" w:line="360" w:lineRule="auto"/>
              <w:rPr>
                <w:rFonts w:ascii="宋体" w:hAnsi="宋体" w:cs="仿宋"/>
                <w:b w:val="0"/>
                <w:sz w:val="24"/>
                <w:szCs w:val="24"/>
                <w:highlight w:val="none"/>
                <w:lang w:val="en-US" w:eastAsia="zh-CN"/>
              </w:rPr>
            </w:pPr>
          </w:p>
        </w:tc>
      </w:tr>
      <w:tr w14:paraId="0A68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noWrap w:val="0"/>
            <w:vAlign w:val="center"/>
          </w:tcPr>
          <w:p w14:paraId="57D8B0BB">
            <w:pPr>
              <w:shd w:val="clear"/>
              <w:spacing w:line="360" w:lineRule="auto"/>
              <w:jc w:val="center"/>
              <w:rPr>
                <w:rFonts w:cs="仿宋"/>
                <w:highlight w:val="none"/>
              </w:rPr>
            </w:pPr>
            <w:r>
              <w:rPr>
                <w:rFonts w:hint="eastAsia" w:cs="仿宋"/>
                <w:highlight w:val="none"/>
              </w:rPr>
              <w:t>2</w:t>
            </w:r>
          </w:p>
        </w:tc>
        <w:tc>
          <w:tcPr>
            <w:tcW w:w="2036" w:type="dxa"/>
            <w:noWrap w:val="0"/>
            <w:vAlign w:val="center"/>
          </w:tcPr>
          <w:p w14:paraId="631823A0">
            <w:pPr>
              <w:pStyle w:val="70"/>
              <w:shd w:val="clear"/>
              <w:spacing w:beforeLines="0" w:line="360" w:lineRule="auto"/>
              <w:rPr>
                <w:rFonts w:ascii="宋体" w:hAnsi="宋体" w:cs="仿宋"/>
                <w:b w:val="0"/>
                <w:sz w:val="24"/>
                <w:szCs w:val="24"/>
                <w:highlight w:val="none"/>
                <w:lang w:val="en-US" w:eastAsia="zh-CN"/>
              </w:rPr>
            </w:pPr>
          </w:p>
        </w:tc>
        <w:tc>
          <w:tcPr>
            <w:tcW w:w="3053" w:type="dxa"/>
            <w:noWrap w:val="0"/>
            <w:vAlign w:val="center"/>
          </w:tcPr>
          <w:p w14:paraId="75EE2619">
            <w:pPr>
              <w:pStyle w:val="70"/>
              <w:shd w:val="clear"/>
              <w:spacing w:beforeLines="0" w:line="360" w:lineRule="auto"/>
              <w:rPr>
                <w:rFonts w:ascii="宋体" w:hAnsi="宋体" w:cs="仿宋"/>
                <w:b w:val="0"/>
                <w:sz w:val="24"/>
                <w:szCs w:val="24"/>
                <w:highlight w:val="none"/>
                <w:lang w:val="en-US" w:eastAsia="zh-CN"/>
              </w:rPr>
            </w:pPr>
          </w:p>
        </w:tc>
        <w:tc>
          <w:tcPr>
            <w:tcW w:w="1276" w:type="dxa"/>
            <w:noWrap w:val="0"/>
            <w:vAlign w:val="center"/>
          </w:tcPr>
          <w:p w14:paraId="6590B4E1">
            <w:pPr>
              <w:pStyle w:val="70"/>
              <w:shd w:val="clear"/>
              <w:spacing w:beforeLines="0" w:line="360" w:lineRule="auto"/>
              <w:rPr>
                <w:rFonts w:ascii="宋体" w:hAnsi="宋体" w:cs="仿宋"/>
                <w:b w:val="0"/>
                <w:sz w:val="24"/>
                <w:szCs w:val="24"/>
                <w:highlight w:val="none"/>
                <w:lang w:val="en-US" w:eastAsia="zh-CN"/>
              </w:rPr>
            </w:pPr>
          </w:p>
        </w:tc>
        <w:tc>
          <w:tcPr>
            <w:tcW w:w="1701" w:type="dxa"/>
            <w:noWrap w:val="0"/>
            <w:vAlign w:val="center"/>
          </w:tcPr>
          <w:p w14:paraId="44AD8CA1">
            <w:pPr>
              <w:pStyle w:val="70"/>
              <w:shd w:val="clear"/>
              <w:spacing w:beforeLines="0" w:line="360" w:lineRule="auto"/>
              <w:rPr>
                <w:rFonts w:ascii="宋体" w:hAnsi="宋体" w:cs="仿宋"/>
                <w:b w:val="0"/>
                <w:sz w:val="24"/>
                <w:szCs w:val="24"/>
                <w:highlight w:val="none"/>
                <w:lang w:val="en-US" w:eastAsia="zh-CN"/>
              </w:rPr>
            </w:pPr>
          </w:p>
        </w:tc>
      </w:tr>
      <w:tr w14:paraId="17199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noWrap w:val="0"/>
            <w:vAlign w:val="center"/>
          </w:tcPr>
          <w:p w14:paraId="30AD67F0">
            <w:pPr>
              <w:shd w:val="clear"/>
              <w:spacing w:line="360" w:lineRule="auto"/>
              <w:jc w:val="center"/>
              <w:rPr>
                <w:rFonts w:cs="仿宋"/>
                <w:highlight w:val="none"/>
              </w:rPr>
            </w:pPr>
            <w:r>
              <w:rPr>
                <w:rFonts w:hint="eastAsia" w:cs="仿宋"/>
                <w:highlight w:val="none"/>
              </w:rPr>
              <w:t>3</w:t>
            </w:r>
          </w:p>
        </w:tc>
        <w:tc>
          <w:tcPr>
            <w:tcW w:w="2036" w:type="dxa"/>
            <w:noWrap w:val="0"/>
            <w:vAlign w:val="center"/>
          </w:tcPr>
          <w:p w14:paraId="3FDCF2EF">
            <w:pPr>
              <w:pStyle w:val="70"/>
              <w:shd w:val="clear"/>
              <w:spacing w:beforeLines="0" w:line="360" w:lineRule="auto"/>
              <w:rPr>
                <w:rFonts w:ascii="宋体" w:hAnsi="宋体" w:cs="仿宋"/>
                <w:b w:val="0"/>
                <w:sz w:val="24"/>
                <w:szCs w:val="24"/>
                <w:highlight w:val="none"/>
                <w:lang w:val="en-US" w:eastAsia="zh-CN"/>
              </w:rPr>
            </w:pPr>
          </w:p>
        </w:tc>
        <w:tc>
          <w:tcPr>
            <w:tcW w:w="3053" w:type="dxa"/>
            <w:noWrap w:val="0"/>
            <w:vAlign w:val="center"/>
          </w:tcPr>
          <w:p w14:paraId="62C1A026">
            <w:pPr>
              <w:pStyle w:val="70"/>
              <w:shd w:val="clear"/>
              <w:spacing w:beforeLines="0" w:line="360" w:lineRule="auto"/>
              <w:rPr>
                <w:rFonts w:ascii="宋体" w:hAnsi="宋体" w:cs="仿宋"/>
                <w:b w:val="0"/>
                <w:sz w:val="24"/>
                <w:szCs w:val="24"/>
                <w:highlight w:val="none"/>
                <w:lang w:val="en-US" w:eastAsia="zh-CN"/>
              </w:rPr>
            </w:pPr>
          </w:p>
        </w:tc>
        <w:tc>
          <w:tcPr>
            <w:tcW w:w="1276" w:type="dxa"/>
            <w:noWrap w:val="0"/>
            <w:vAlign w:val="center"/>
          </w:tcPr>
          <w:p w14:paraId="661DB13F">
            <w:pPr>
              <w:pStyle w:val="70"/>
              <w:shd w:val="clear"/>
              <w:spacing w:beforeLines="0" w:line="360" w:lineRule="auto"/>
              <w:rPr>
                <w:rFonts w:ascii="宋体" w:hAnsi="宋体" w:cs="仿宋"/>
                <w:b w:val="0"/>
                <w:sz w:val="24"/>
                <w:szCs w:val="24"/>
                <w:highlight w:val="none"/>
                <w:lang w:val="en-US" w:eastAsia="zh-CN"/>
              </w:rPr>
            </w:pPr>
          </w:p>
        </w:tc>
        <w:tc>
          <w:tcPr>
            <w:tcW w:w="1701" w:type="dxa"/>
            <w:noWrap w:val="0"/>
            <w:vAlign w:val="center"/>
          </w:tcPr>
          <w:p w14:paraId="581BE8B2">
            <w:pPr>
              <w:pStyle w:val="70"/>
              <w:shd w:val="clear"/>
              <w:spacing w:beforeLines="0" w:line="360" w:lineRule="auto"/>
              <w:rPr>
                <w:rFonts w:ascii="宋体" w:hAnsi="宋体" w:cs="仿宋"/>
                <w:b w:val="0"/>
                <w:sz w:val="24"/>
                <w:szCs w:val="24"/>
                <w:highlight w:val="none"/>
                <w:lang w:val="en-US" w:eastAsia="zh-CN"/>
              </w:rPr>
            </w:pPr>
          </w:p>
        </w:tc>
      </w:tr>
      <w:tr w14:paraId="3E6D0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noWrap w:val="0"/>
            <w:vAlign w:val="center"/>
          </w:tcPr>
          <w:p w14:paraId="53AC6636">
            <w:pPr>
              <w:shd w:val="clear"/>
              <w:spacing w:line="360" w:lineRule="auto"/>
              <w:jc w:val="center"/>
              <w:rPr>
                <w:rFonts w:cs="仿宋"/>
                <w:highlight w:val="none"/>
              </w:rPr>
            </w:pPr>
            <w:r>
              <w:rPr>
                <w:rFonts w:hint="eastAsia" w:cs="仿宋"/>
                <w:highlight w:val="none"/>
              </w:rPr>
              <w:t>……</w:t>
            </w:r>
          </w:p>
        </w:tc>
        <w:tc>
          <w:tcPr>
            <w:tcW w:w="2036" w:type="dxa"/>
            <w:noWrap w:val="0"/>
            <w:vAlign w:val="center"/>
          </w:tcPr>
          <w:p w14:paraId="09604670">
            <w:pPr>
              <w:pStyle w:val="70"/>
              <w:shd w:val="clear"/>
              <w:spacing w:beforeLines="0" w:line="360" w:lineRule="auto"/>
              <w:rPr>
                <w:rFonts w:ascii="宋体" w:hAnsi="宋体" w:cs="仿宋"/>
                <w:b w:val="0"/>
                <w:sz w:val="24"/>
                <w:szCs w:val="24"/>
                <w:highlight w:val="none"/>
                <w:lang w:val="en-US" w:eastAsia="zh-CN"/>
              </w:rPr>
            </w:pPr>
          </w:p>
        </w:tc>
        <w:tc>
          <w:tcPr>
            <w:tcW w:w="3053" w:type="dxa"/>
            <w:noWrap w:val="0"/>
            <w:vAlign w:val="center"/>
          </w:tcPr>
          <w:p w14:paraId="508A897C">
            <w:pPr>
              <w:pStyle w:val="70"/>
              <w:shd w:val="clear"/>
              <w:spacing w:beforeLines="0" w:line="360" w:lineRule="auto"/>
              <w:rPr>
                <w:rFonts w:ascii="宋体" w:hAnsi="宋体" w:cs="仿宋"/>
                <w:b w:val="0"/>
                <w:sz w:val="24"/>
                <w:szCs w:val="24"/>
                <w:highlight w:val="none"/>
                <w:lang w:val="en-US" w:eastAsia="zh-CN"/>
              </w:rPr>
            </w:pPr>
          </w:p>
        </w:tc>
        <w:tc>
          <w:tcPr>
            <w:tcW w:w="1276" w:type="dxa"/>
            <w:noWrap w:val="0"/>
            <w:vAlign w:val="center"/>
          </w:tcPr>
          <w:p w14:paraId="010BAEB3">
            <w:pPr>
              <w:pStyle w:val="70"/>
              <w:shd w:val="clear"/>
              <w:spacing w:beforeLines="0" w:line="360" w:lineRule="auto"/>
              <w:rPr>
                <w:rFonts w:ascii="宋体" w:hAnsi="宋体" w:cs="仿宋"/>
                <w:b w:val="0"/>
                <w:sz w:val="24"/>
                <w:szCs w:val="24"/>
                <w:highlight w:val="none"/>
                <w:lang w:val="en-US" w:eastAsia="zh-CN"/>
              </w:rPr>
            </w:pPr>
          </w:p>
        </w:tc>
        <w:tc>
          <w:tcPr>
            <w:tcW w:w="1701" w:type="dxa"/>
            <w:noWrap w:val="0"/>
            <w:vAlign w:val="center"/>
          </w:tcPr>
          <w:p w14:paraId="56DDDB27">
            <w:pPr>
              <w:pStyle w:val="70"/>
              <w:shd w:val="clear"/>
              <w:spacing w:beforeLines="0" w:line="360" w:lineRule="auto"/>
              <w:rPr>
                <w:rFonts w:ascii="宋体" w:hAnsi="宋体" w:cs="仿宋"/>
                <w:b w:val="0"/>
                <w:sz w:val="24"/>
                <w:szCs w:val="24"/>
                <w:highlight w:val="none"/>
                <w:lang w:val="en-US" w:eastAsia="zh-CN"/>
              </w:rPr>
            </w:pPr>
          </w:p>
        </w:tc>
      </w:tr>
    </w:tbl>
    <w:p w14:paraId="42CF9755">
      <w:pPr>
        <w:shd w:val="clear"/>
        <w:topLinePunct/>
        <w:spacing w:line="360" w:lineRule="auto"/>
        <w:ind w:firstLine="482" w:firstLineChars="200"/>
        <w:rPr>
          <w:rFonts w:cs="仿宋"/>
          <w:b/>
          <w:bCs/>
          <w:highlight w:val="none"/>
        </w:rPr>
      </w:pPr>
    </w:p>
    <w:p w14:paraId="7B54B1B2">
      <w:pPr>
        <w:shd w:val="clear"/>
        <w:topLinePunct/>
        <w:spacing w:line="360" w:lineRule="auto"/>
        <w:ind w:firstLine="482" w:firstLineChars="200"/>
        <w:rPr>
          <w:rFonts w:cs="仿宋"/>
          <w:b/>
          <w:bCs/>
          <w:highlight w:val="none"/>
        </w:rPr>
      </w:pPr>
      <w:r>
        <w:rPr>
          <w:rFonts w:hint="eastAsia" w:cs="仿宋"/>
          <w:b/>
          <w:bCs/>
          <w:highlight w:val="none"/>
        </w:rPr>
        <w:t>注：提供的业绩要附合同复印件作为证明。</w:t>
      </w:r>
    </w:p>
    <w:p w14:paraId="346F6C81">
      <w:pPr>
        <w:shd w:val="clear"/>
        <w:spacing w:line="360" w:lineRule="auto"/>
        <w:rPr>
          <w:rFonts w:cs="仿宋"/>
          <w:highlight w:val="none"/>
        </w:rPr>
      </w:pPr>
    </w:p>
    <w:p w14:paraId="0B286508">
      <w:pPr>
        <w:shd w:val="clear"/>
        <w:spacing w:line="360" w:lineRule="auto"/>
        <w:ind w:firstLine="4200" w:firstLineChars="1750"/>
        <w:rPr>
          <w:rFonts w:cs="仿宋"/>
          <w:highlight w:val="none"/>
        </w:rPr>
      </w:pPr>
      <w:r>
        <w:rPr>
          <w:rFonts w:hint="eastAsia" w:cs="仿宋"/>
          <w:highlight w:val="none"/>
        </w:rPr>
        <w:t>投标人：（盖单位章）</w:t>
      </w:r>
    </w:p>
    <w:p w14:paraId="3B8332CE">
      <w:pPr>
        <w:shd w:val="clear"/>
        <w:spacing w:line="360" w:lineRule="auto"/>
        <w:ind w:firstLine="4200" w:firstLineChars="1750"/>
        <w:rPr>
          <w:rFonts w:cs="仿宋"/>
          <w:highlight w:val="none"/>
        </w:rPr>
      </w:pPr>
      <w:r>
        <w:rPr>
          <w:rFonts w:hint="eastAsia" w:cs="仿宋"/>
          <w:highlight w:val="none"/>
        </w:rPr>
        <w:t>法定代表人或其委托代理人：（签字）</w:t>
      </w:r>
    </w:p>
    <w:p w14:paraId="775EE82D">
      <w:pPr>
        <w:shd w:val="clear"/>
        <w:spacing w:line="360" w:lineRule="auto"/>
        <w:ind w:firstLine="4200" w:firstLineChars="1750"/>
        <w:rPr>
          <w:rFonts w:hint="eastAsia" w:cs="仿宋"/>
          <w:highlight w:val="none"/>
        </w:rPr>
      </w:pPr>
      <w:r>
        <w:rPr>
          <w:rFonts w:hint="eastAsia" w:cs="仿宋"/>
          <w:highlight w:val="none"/>
        </w:rPr>
        <w:t>年月日</w:t>
      </w:r>
    </w:p>
    <w:p w14:paraId="6DB7BFBD">
      <w:pPr>
        <w:shd w:val="clear"/>
        <w:spacing w:line="360" w:lineRule="auto"/>
        <w:rPr>
          <w:rFonts w:hint="eastAsia" w:cs="仿宋"/>
          <w:bCs/>
          <w:highlight w:val="none"/>
        </w:rPr>
      </w:pPr>
      <w:r>
        <w:rPr>
          <w:rFonts w:hint="eastAsia" w:cs="仿宋"/>
          <w:bCs/>
          <w:highlight w:val="none"/>
        </w:rPr>
        <w:t>5.4近年发生的诉讼及仲裁情况</w:t>
      </w:r>
    </w:p>
    <w:p w14:paraId="4A954315">
      <w:pPr>
        <w:shd w:val="clear"/>
        <w:spacing w:line="360" w:lineRule="auto"/>
        <w:ind w:firstLine="480" w:firstLineChars="200"/>
        <w:rPr>
          <w:rFonts w:hint="eastAsia" w:cs="仿宋"/>
          <w:bCs/>
          <w:highlight w:val="none"/>
        </w:rPr>
        <w:sectPr>
          <w:footerReference r:id="rId8" w:type="default"/>
          <w:pgSz w:w="11907" w:h="16840"/>
          <w:pgMar w:top="1304" w:right="1304" w:bottom="1304" w:left="1304" w:header="850" w:footer="992" w:gutter="0"/>
          <w:pgNumType w:fmt="decimal"/>
          <w:cols w:space="720" w:num="1"/>
          <w:docGrid w:linePitch="360" w:charSpace="0"/>
        </w:sectPr>
      </w:pPr>
      <w:r>
        <w:rPr>
          <w:rFonts w:hint="eastAsia" w:cs="仿宋"/>
          <w:bCs/>
          <w:highlight w:val="none"/>
        </w:rPr>
        <w:t>注：投标人应根据投标人须知第3.5.4项的要求附相关证明材料。</w:t>
      </w:r>
    </w:p>
    <w:p w14:paraId="790AB08F">
      <w:pPr>
        <w:pStyle w:val="59"/>
        <w:shd w:val="clear"/>
        <w:ind w:left="0" w:firstLine="0"/>
        <w:rPr>
          <w:rFonts w:hint="eastAsia" w:cs="仿宋"/>
          <w:b w:val="0"/>
          <w:highlight w:val="none"/>
        </w:rPr>
      </w:pPr>
      <w:bookmarkStart w:id="184" w:name="_Toc508871758"/>
      <w:bookmarkStart w:id="185" w:name="_Toc20622_WPSOffice_Level1"/>
      <w:bookmarkStart w:id="186" w:name="_Toc506105878"/>
      <w:bookmarkStart w:id="187" w:name="_Toc19580_WPSOffice_Level1"/>
      <w:bookmarkStart w:id="188" w:name="_Toc352160853"/>
      <w:bookmarkStart w:id="189" w:name="_Toc391556618"/>
      <w:r>
        <w:rPr>
          <w:rFonts w:hint="eastAsia" w:cs="仿宋"/>
          <w:b w:val="0"/>
          <w:highlight w:val="none"/>
        </w:rPr>
        <w:t>6、报价表</w:t>
      </w:r>
      <w:bookmarkEnd w:id="184"/>
      <w:bookmarkEnd w:id="185"/>
      <w:bookmarkEnd w:id="186"/>
      <w:bookmarkEnd w:id="187"/>
      <w:bookmarkEnd w:id="188"/>
      <w:bookmarkEnd w:id="189"/>
    </w:p>
    <w:p w14:paraId="1FBFCB7B">
      <w:pPr>
        <w:shd w:val="clear"/>
        <w:spacing w:line="360" w:lineRule="auto"/>
        <w:rPr>
          <w:rFonts w:cs="仿宋"/>
          <w:b/>
          <w:highlight w:val="none"/>
        </w:rPr>
      </w:pPr>
      <w:r>
        <w:rPr>
          <w:rFonts w:hint="eastAsia" w:cs="仿宋"/>
          <w:b/>
          <w:highlight w:val="none"/>
        </w:rPr>
        <w:t>6.1报价说明：</w:t>
      </w:r>
    </w:p>
    <w:p w14:paraId="4F96C9F5">
      <w:pPr>
        <w:shd w:val="clear"/>
        <w:tabs>
          <w:tab w:val="left" w:pos="945"/>
        </w:tabs>
        <w:spacing w:line="360" w:lineRule="auto"/>
        <w:ind w:firstLine="480" w:firstLineChars="200"/>
        <w:rPr>
          <w:rFonts w:cs="仿宋"/>
          <w:highlight w:val="none"/>
        </w:rPr>
      </w:pPr>
      <w:r>
        <w:rPr>
          <w:rFonts w:hint="eastAsia" w:cs="仿宋"/>
          <w:highlight w:val="none"/>
        </w:rPr>
        <w:t>（1）报价表应按本招标文件规定的格式填写。</w:t>
      </w:r>
    </w:p>
    <w:p w14:paraId="55A953E6">
      <w:pPr>
        <w:shd w:val="clear"/>
        <w:tabs>
          <w:tab w:val="left" w:pos="945"/>
        </w:tabs>
        <w:spacing w:line="360" w:lineRule="auto"/>
        <w:ind w:firstLine="480" w:firstLineChars="200"/>
        <w:rPr>
          <w:rFonts w:cs="仿宋"/>
          <w:highlight w:val="none"/>
        </w:rPr>
      </w:pPr>
      <w:r>
        <w:rPr>
          <w:rFonts w:hint="eastAsia" w:cs="仿宋"/>
          <w:highlight w:val="none"/>
        </w:rPr>
        <w:t>（2）报价币种为人民币。</w:t>
      </w:r>
    </w:p>
    <w:p w14:paraId="557E7445">
      <w:pPr>
        <w:shd w:val="clear"/>
        <w:tabs>
          <w:tab w:val="left" w:pos="945"/>
        </w:tabs>
        <w:spacing w:line="360" w:lineRule="auto"/>
        <w:ind w:firstLine="480" w:firstLineChars="200"/>
        <w:rPr>
          <w:rFonts w:cs="仿宋"/>
          <w:highlight w:val="none"/>
        </w:rPr>
      </w:pPr>
      <w:r>
        <w:rPr>
          <w:rFonts w:hint="eastAsia" w:cs="仿宋"/>
          <w:highlight w:val="none"/>
        </w:rPr>
        <w:t>（3）如果按单价计算的结果与总价不一致，以单价为准修正总价。</w:t>
      </w:r>
    </w:p>
    <w:p w14:paraId="7EDB56ED">
      <w:pPr>
        <w:shd w:val="clear"/>
        <w:tabs>
          <w:tab w:val="left" w:pos="945"/>
        </w:tabs>
        <w:spacing w:line="360" w:lineRule="auto"/>
        <w:ind w:firstLine="480" w:firstLineChars="200"/>
        <w:rPr>
          <w:rFonts w:cs="仿宋"/>
          <w:highlight w:val="none"/>
        </w:rPr>
      </w:pPr>
      <w:r>
        <w:rPr>
          <w:rFonts w:hint="eastAsia" w:cs="仿宋"/>
          <w:highlight w:val="none"/>
        </w:rPr>
        <w:t>（4）报价清单中有计算或汇总中的算术错误时，将按招标须知中有关规定执行。</w:t>
      </w:r>
    </w:p>
    <w:p w14:paraId="0AA5285D">
      <w:pPr>
        <w:shd w:val="clear"/>
        <w:tabs>
          <w:tab w:val="left" w:pos="945"/>
        </w:tabs>
        <w:spacing w:line="360" w:lineRule="auto"/>
        <w:ind w:firstLine="480" w:firstLineChars="200"/>
        <w:rPr>
          <w:rFonts w:cs="仿宋"/>
          <w:highlight w:val="none"/>
        </w:rPr>
      </w:pPr>
      <w:r>
        <w:rPr>
          <w:rFonts w:hint="eastAsia" w:cs="仿宋"/>
          <w:highlight w:val="none"/>
        </w:rPr>
        <w:t>（5）报价中包含</w:t>
      </w:r>
      <w:r>
        <w:rPr>
          <w:rFonts w:hint="eastAsia" w:ascii="宋体" w:hAnsi="宋体" w:cs="宋体"/>
          <w:color w:val="000000"/>
          <w:sz w:val="24"/>
          <w:highlight w:val="none"/>
        </w:rPr>
        <w:t>材料费、</w:t>
      </w:r>
      <w:r>
        <w:rPr>
          <w:rFonts w:hint="eastAsia" w:ascii="宋体" w:hAnsi="宋体" w:cs="宋体"/>
          <w:color w:val="000000"/>
          <w:sz w:val="24"/>
          <w:highlight w:val="none"/>
          <w:lang w:val="zh-CN"/>
        </w:rPr>
        <w:t>往返运输、</w:t>
      </w:r>
      <w:r>
        <w:rPr>
          <w:rFonts w:hint="eastAsia" w:ascii="宋体" w:hAnsi="宋体" w:cs="宋体"/>
          <w:color w:val="000000"/>
          <w:sz w:val="24"/>
          <w:highlight w:val="none"/>
        </w:rPr>
        <w:t>人工、</w:t>
      </w:r>
      <w:r>
        <w:rPr>
          <w:rFonts w:hint="eastAsia" w:ascii="宋体" w:hAnsi="宋体" w:cs="宋体"/>
          <w:color w:val="000000"/>
          <w:sz w:val="24"/>
          <w:highlight w:val="none"/>
          <w:lang w:val="zh-CN"/>
        </w:rPr>
        <w:t>试验</w:t>
      </w:r>
      <w:r>
        <w:rPr>
          <w:rFonts w:hint="eastAsia" w:ascii="宋体" w:hAnsi="宋体" w:cs="宋体"/>
          <w:color w:val="000000"/>
          <w:sz w:val="24"/>
          <w:highlight w:val="none"/>
        </w:rPr>
        <w:t>等费用</w:t>
      </w:r>
      <w:r>
        <w:rPr>
          <w:rFonts w:hint="eastAsia" w:cs="仿宋"/>
          <w:highlight w:val="none"/>
        </w:rPr>
        <w:t>。</w:t>
      </w:r>
    </w:p>
    <w:p w14:paraId="23280108">
      <w:pPr>
        <w:shd w:val="clear"/>
        <w:tabs>
          <w:tab w:val="left" w:pos="945"/>
        </w:tabs>
        <w:spacing w:line="360" w:lineRule="auto"/>
        <w:ind w:firstLine="480" w:firstLineChars="200"/>
        <w:rPr>
          <w:rFonts w:cs="仿宋"/>
          <w:highlight w:val="none"/>
        </w:rPr>
      </w:pPr>
      <w:r>
        <w:rPr>
          <w:rFonts w:hint="eastAsia" w:cs="仿宋"/>
          <w:highlight w:val="none"/>
        </w:rPr>
        <w:t>（6）本项目为固定总价项目，合同价格包括完成项目所需的各种费用，且在合同执行过程中不作任何调整。</w:t>
      </w:r>
    </w:p>
    <w:p w14:paraId="1D73FF2C">
      <w:pPr>
        <w:shd w:val="clear"/>
        <w:tabs>
          <w:tab w:val="left" w:pos="945"/>
        </w:tabs>
        <w:spacing w:line="360" w:lineRule="auto"/>
        <w:ind w:left="1027" w:leftChars="228" w:hanging="480" w:hangingChars="200"/>
        <w:rPr>
          <w:rFonts w:cs="仿宋"/>
          <w:highlight w:val="none"/>
        </w:rPr>
      </w:pPr>
      <w:r>
        <w:rPr>
          <w:rFonts w:hint="eastAsia" w:cs="仿宋"/>
          <w:highlight w:val="none"/>
        </w:rPr>
        <w:t>（7）若投标人对某些项目未报价，则应认为已包括在总报价内。</w:t>
      </w:r>
    </w:p>
    <w:p w14:paraId="205E417D">
      <w:pPr>
        <w:shd w:val="clear"/>
        <w:tabs>
          <w:tab w:val="left" w:pos="945"/>
        </w:tabs>
        <w:spacing w:line="360" w:lineRule="auto"/>
        <w:ind w:firstLine="480" w:firstLineChars="200"/>
        <w:rPr>
          <w:rFonts w:cs="仿宋"/>
          <w:highlight w:val="none"/>
        </w:rPr>
      </w:pPr>
      <w:r>
        <w:rPr>
          <w:rFonts w:hint="eastAsia" w:cs="仿宋"/>
          <w:highlight w:val="none"/>
        </w:rPr>
        <w:t>（8）</w:t>
      </w:r>
      <w:r>
        <w:rPr>
          <w:rFonts w:cs="仿宋"/>
          <w:highlight w:val="none"/>
        </w:rPr>
        <w:t>报价</w:t>
      </w:r>
      <w:r>
        <w:rPr>
          <w:rFonts w:hint="eastAsia" w:cs="仿宋"/>
          <w:highlight w:val="none"/>
        </w:rPr>
        <w:t>为</w:t>
      </w:r>
      <w:r>
        <w:rPr>
          <w:rFonts w:cs="仿宋"/>
          <w:highlight w:val="none"/>
        </w:rPr>
        <w:t>含</w:t>
      </w:r>
      <w:r>
        <w:rPr>
          <w:rFonts w:hint="eastAsia" w:cs="仿宋"/>
          <w:highlight w:val="none"/>
          <w:u w:val="single"/>
          <w:lang w:val="en-US" w:eastAsia="zh-CN"/>
        </w:rPr>
        <w:t xml:space="preserve">   </w:t>
      </w:r>
      <w:r>
        <w:rPr>
          <w:rFonts w:cs="仿宋"/>
          <w:highlight w:val="none"/>
        </w:rPr>
        <w:t>%增值税专用发票价格</w:t>
      </w:r>
      <w:r>
        <w:rPr>
          <w:rFonts w:hint="eastAsia" w:cs="仿宋"/>
          <w:highlight w:val="none"/>
        </w:rPr>
        <w:t>（以人民币报价的方式）。</w:t>
      </w:r>
    </w:p>
    <w:p w14:paraId="7BB8F449">
      <w:pPr>
        <w:shd w:val="clear"/>
        <w:autoSpaceDE w:val="0"/>
        <w:autoSpaceDN w:val="0"/>
        <w:adjustRightInd w:val="0"/>
        <w:snapToGrid w:val="0"/>
        <w:spacing w:before="156" w:beforeLines="50" w:after="249" w:afterLines="80" w:line="360" w:lineRule="auto"/>
        <w:ind w:left="393" w:hanging="393" w:hangingChars="163"/>
        <w:rPr>
          <w:rFonts w:cs="仿宋"/>
          <w:b/>
          <w:highlight w:val="none"/>
        </w:rPr>
      </w:pPr>
    </w:p>
    <w:p w14:paraId="25BFD65A">
      <w:pPr>
        <w:shd w:val="clear"/>
        <w:autoSpaceDE w:val="0"/>
        <w:autoSpaceDN w:val="0"/>
        <w:adjustRightInd w:val="0"/>
        <w:snapToGrid w:val="0"/>
        <w:jc w:val="both"/>
        <w:rPr>
          <w:rFonts w:cs="仿宋"/>
          <w:b/>
          <w:highlight w:val="none"/>
        </w:rPr>
      </w:pPr>
      <w:r>
        <w:rPr>
          <w:rFonts w:hint="eastAsia" w:cs="仿宋"/>
          <w:b/>
          <w:highlight w:val="none"/>
        </w:rPr>
        <w:br w:type="page"/>
      </w:r>
      <w:r>
        <w:rPr>
          <w:rFonts w:hint="eastAsia" w:cs="仿宋"/>
          <w:b/>
          <w:highlight w:val="none"/>
        </w:rPr>
        <w:t>6.2</w:t>
      </w:r>
      <w:r>
        <w:rPr>
          <w:rFonts w:hint="eastAsia" w:cs="仿宋"/>
          <w:b/>
          <w:highlight w:val="none"/>
          <w:lang w:val="en-US" w:eastAsia="zh-CN"/>
        </w:rPr>
        <w:t>分项</w:t>
      </w:r>
      <w:r>
        <w:rPr>
          <w:rFonts w:hint="eastAsia" w:cs="仿宋"/>
          <w:b/>
          <w:highlight w:val="none"/>
        </w:rPr>
        <w:t xml:space="preserve">报价表            </w:t>
      </w:r>
    </w:p>
    <w:p w14:paraId="2F24DAFA">
      <w:pPr>
        <w:shd w:val="clear"/>
        <w:autoSpaceDE w:val="0"/>
        <w:autoSpaceDN w:val="0"/>
        <w:adjustRightInd w:val="0"/>
        <w:snapToGrid w:val="0"/>
        <w:ind w:left="393" w:hanging="393" w:hangingChars="163"/>
        <w:jc w:val="center"/>
        <w:rPr>
          <w:rFonts w:cs="仿宋"/>
          <w:highlight w:val="none"/>
        </w:rPr>
      </w:pPr>
      <w:r>
        <w:rPr>
          <w:rFonts w:hint="eastAsia" w:cs="仿宋"/>
          <w:b/>
          <w:highlight w:val="none"/>
          <w:lang w:val="en-US" w:eastAsia="zh-CN"/>
        </w:rPr>
        <w:t>分项</w:t>
      </w:r>
      <w:r>
        <w:rPr>
          <w:rFonts w:hint="eastAsia" w:cs="仿宋"/>
          <w:b/>
          <w:highlight w:val="none"/>
        </w:rPr>
        <w:t>报价表</w:t>
      </w:r>
    </w:p>
    <w:tbl>
      <w:tblPr>
        <w:tblStyle w:val="46"/>
        <w:tblW w:w="9801" w:type="dxa"/>
        <w:jc w:val="center"/>
        <w:tblLayout w:type="fixed"/>
        <w:tblCellMar>
          <w:top w:w="0" w:type="dxa"/>
          <w:left w:w="108" w:type="dxa"/>
          <w:bottom w:w="0" w:type="dxa"/>
          <w:right w:w="108" w:type="dxa"/>
        </w:tblCellMar>
      </w:tblPr>
      <w:tblGrid>
        <w:gridCol w:w="720"/>
        <w:gridCol w:w="1486"/>
        <w:gridCol w:w="2340"/>
        <w:gridCol w:w="780"/>
        <w:gridCol w:w="810"/>
        <w:gridCol w:w="980"/>
        <w:gridCol w:w="2685"/>
      </w:tblGrid>
      <w:tr w14:paraId="32B2A7F5">
        <w:tblPrEx>
          <w:tblCellMar>
            <w:top w:w="0" w:type="dxa"/>
            <w:left w:w="108" w:type="dxa"/>
            <w:bottom w:w="0" w:type="dxa"/>
            <w:right w:w="108" w:type="dxa"/>
          </w:tblCellMar>
        </w:tblPrEx>
        <w:trPr>
          <w:trHeight w:val="333" w:hRule="atLeast"/>
          <w:jc w:val="center"/>
        </w:trPr>
        <w:tc>
          <w:tcPr>
            <w:tcW w:w="720" w:type="dxa"/>
            <w:tcBorders>
              <w:top w:val="single" w:color="auto" w:sz="4" w:space="0"/>
              <w:left w:val="single" w:color="auto" w:sz="4" w:space="0"/>
              <w:bottom w:val="single" w:color="auto" w:sz="4" w:space="0"/>
              <w:right w:val="single" w:color="auto" w:sz="4" w:space="0"/>
            </w:tcBorders>
            <w:noWrap/>
            <w:vAlign w:val="bottom"/>
          </w:tcPr>
          <w:p w14:paraId="206D79A7">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序号</w:t>
            </w:r>
          </w:p>
        </w:tc>
        <w:tc>
          <w:tcPr>
            <w:tcW w:w="1486" w:type="dxa"/>
            <w:tcBorders>
              <w:top w:val="single" w:color="auto" w:sz="4" w:space="0"/>
              <w:left w:val="nil"/>
              <w:bottom w:val="single" w:color="auto" w:sz="4" w:space="0"/>
              <w:right w:val="single" w:color="auto" w:sz="4" w:space="0"/>
            </w:tcBorders>
            <w:noWrap/>
            <w:vAlign w:val="bottom"/>
          </w:tcPr>
          <w:p w14:paraId="357528A2">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名称</w:t>
            </w:r>
          </w:p>
        </w:tc>
        <w:tc>
          <w:tcPr>
            <w:tcW w:w="2340" w:type="dxa"/>
            <w:tcBorders>
              <w:top w:val="single" w:color="auto" w:sz="4" w:space="0"/>
              <w:left w:val="nil"/>
              <w:bottom w:val="single" w:color="auto" w:sz="4" w:space="0"/>
              <w:right w:val="single" w:color="auto" w:sz="4" w:space="0"/>
            </w:tcBorders>
          </w:tcPr>
          <w:p w14:paraId="3550D120">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规格描述</w:t>
            </w:r>
          </w:p>
        </w:tc>
        <w:tc>
          <w:tcPr>
            <w:tcW w:w="780" w:type="dxa"/>
            <w:tcBorders>
              <w:top w:val="single" w:color="auto" w:sz="4" w:space="0"/>
              <w:left w:val="single" w:color="auto" w:sz="4" w:space="0"/>
              <w:bottom w:val="single" w:color="auto" w:sz="4" w:space="0"/>
              <w:right w:val="single" w:color="auto" w:sz="4" w:space="0"/>
            </w:tcBorders>
            <w:noWrap/>
            <w:vAlign w:val="bottom"/>
          </w:tcPr>
          <w:p w14:paraId="417F0C18">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数量</w:t>
            </w:r>
          </w:p>
        </w:tc>
        <w:tc>
          <w:tcPr>
            <w:tcW w:w="810" w:type="dxa"/>
            <w:tcBorders>
              <w:top w:val="single" w:color="auto" w:sz="4" w:space="0"/>
              <w:left w:val="nil"/>
              <w:bottom w:val="single" w:color="auto" w:sz="4" w:space="0"/>
              <w:right w:val="single" w:color="auto" w:sz="4" w:space="0"/>
            </w:tcBorders>
            <w:noWrap/>
            <w:vAlign w:val="bottom"/>
          </w:tcPr>
          <w:p w14:paraId="6CC6CBD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单位</w:t>
            </w:r>
          </w:p>
        </w:tc>
        <w:tc>
          <w:tcPr>
            <w:tcW w:w="980" w:type="dxa"/>
            <w:tcBorders>
              <w:top w:val="single" w:color="auto" w:sz="4" w:space="0"/>
              <w:left w:val="nil"/>
              <w:bottom w:val="single" w:color="auto" w:sz="4" w:space="0"/>
              <w:right w:val="single" w:color="auto" w:sz="4" w:space="0"/>
            </w:tcBorders>
            <w:noWrap/>
            <w:vAlign w:val="bottom"/>
          </w:tcPr>
          <w:p w14:paraId="15BE1FC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单价</w:t>
            </w:r>
          </w:p>
        </w:tc>
        <w:tc>
          <w:tcPr>
            <w:tcW w:w="2685" w:type="dxa"/>
            <w:tcBorders>
              <w:top w:val="single" w:color="auto" w:sz="4" w:space="0"/>
              <w:left w:val="nil"/>
              <w:bottom w:val="single" w:color="auto" w:sz="4" w:space="0"/>
              <w:right w:val="single" w:color="auto" w:sz="4" w:space="0"/>
            </w:tcBorders>
            <w:noWrap/>
            <w:vAlign w:val="bottom"/>
          </w:tcPr>
          <w:p w14:paraId="76FA57A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w:t>
            </w:r>
          </w:p>
        </w:tc>
      </w:tr>
      <w:tr w14:paraId="759D9696">
        <w:tblPrEx>
          <w:tblCellMar>
            <w:top w:w="0" w:type="dxa"/>
            <w:left w:w="108" w:type="dxa"/>
            <w:bottom w:w="0" w:type="dxa"/>
            <w:right w:w="108" w:type="dxa"/>
          </w:tblCellMar>
        </w:tblPrEx>
        <w:trPr>
          <w:trHeight w:val="1028" w:hRule="atLeast"/>
          <w:jc w:val="center"/>
        </w:trPr>
        <w:tc>
          <w:tcPr>
            <w:tcW w:w="720" w:type="dxa"/>
            <w:tcBorders>
              <w:top w:val="nil"/>
              <w:left w:val="single" w:color="auto" w:sz="4" w:space="0"/>
              <w:bottom w:val="single" w:color="auto" w:sz="4" w:space="0"/>
              <w:right w:val="single" w:color="auto" w:sz="4" w:space="0"/>
            </w:tcBorders>
            <w:noWrap/>
            <w:vAlign w:val="center"/>
          </w:tcPr>
          <w:p w14:paraId="0D0DEA4C">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w:t>
            </w:r>
          </w:p>
        </w:tc>
        <w:tc>
          <w:tcPr>
            <w:tcW w:w="1486" w:type="dxa"/>
            <w:tcBorders>
              <w:top w:val="nil"/>
              <w:left w:val="nil"/>
              <w:bottom w:val="single" w:color="auto" w:sz="4" w:space="0"/>
              <w:right w:val="single" w:color="auto" w:sz="4" w:space="0"/>
            </w:tcBorders>
            <w:noWrap/>
            <w:vAlign w:val="center"/>
          </w:tcPr>
          <w:p w14:paraId="39D35B78">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装车单自助打印终端</w:t>
            </w:r>
          </w:p>
        </w:tc>
        <w:tc>
          <w:tcPr>
            <w:tcW w:w="2340" w:type="dxa"/>
            <w:tcBorders>
              <w:top w:val="nil"/>
              <w:left w:val="nil"/>
              <w:bottom w:val="single" w:color="auto" w:sz="4" w:space="0"/>
              <w:right w:val="single" w:color="auto" w:sz="4" w:space="0"/>
            </w:tcBorders>
            <w:vAlign w:val="center"/>
          </w:tcPr>
          <w:p w14:paraId="75DE8CC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304不锈钢材质，包含：LED显示模组*1，工业票据打印机*2，正压风扇*1等</w:t>
            </w:r>
            <w:r>
              <w:rPr>
                <w:rFonts w:hint="eastAsia" w:cs="宋体"/>
                <w:color w:val="000000"/>
                <w:kern w:val="0"/>
                <w:sz w:val="24"/>
                <w:szCs w:val="24"/>
                <w:lang w:val="en-US" w:eastAsia="zh-CN"/>
              </w:rPr>
              <w:t>（含计量终端空调移位，原空调位置孔洞修复等内容）</w:t>
            </w:r>
            <w:r>
              <w:rPr>
                <w:rFonts w:hint="eastAsia" w:ascii="宋体" w:hAnsi="宋体" w:eastAsia="宋体" w:cs="宋体"/>
                <w:color w:val="000000"/>
                <w:kern w:val="0"/>
                <w:sz w:val="24"/>
                <w:szCs w:val="24"/>
                <w:lang w:val="en-US" w:eastAsia="zh-CN"/>
              </w:rPr>
              <w:t>。</w:t>
            </w:r>
          </w:p>
        </w:tc>
        <w:tc>
          <w:tcPr>
            <w:tcW w:w="780" w:type="dxa"/>
            <w:tcBorders>
              <w:top w:val="nil"/>
              <w:left w:val="single" w:color="auto" w:sz="4" w:space="0"/>
              <w:bottom w:val="single" w:color="auto" w:sz="4" w:space="0"/>
              <w:right w:val="single" w:color="auto" w:sz="4" w:space="0"/>
            </w:tcBorders>
            <w:noWrap/>
            <w:vAlign w:val="center"/>
          </w:tcPr>
          <w:p w14:paraId="0E0AA6A4">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w:t>
            </w:r>
          </w:p>
        </w:tc>
        <w:tc>
          <w:tcPr>
            <w:tcW w:w="810" w:type="dxa"/>
            <w:tcBorders>
              <w:top w:val="nil"/>
              <w:left w:val="nil"/>
              <w:bottom w:val="single" w:color="auto" w:sz="4" w:space="0"/>
              <w:right w:val="single" w:color="auto" w:sz="4" w:space="0"/>
            </w:tcBorders>
            <w:noWrap/>
            <w:vAlign w:val="center"/>
          </w:tcPr>
          <w:p w14:paraId="4D3C4AC4">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c>
          <w:tcPr>
            <w:tcW w:w="980" w:type="dxa"/>
            <w:tcBorders>
              <w:top w:val="nil"/>
              <w:left w:val="nil"/>
              <w:bottom w:val="single" w:color="auto" w:sz="4" w:space="0"/>
              <w:right w:val="single" w:color="auto" w:sz="4" w:space="0"/>
            </w:tcBorders>
            <w:noWrap/>
            <w:vAlign w:val="center"/>
          </w:tcPr>
          <w:p w14:paraId="21FF7123">
            <w:pPr>
              <w:widowControl/>
              <w:jc w:val="center"/>
              <w:rPr>
                <w:rFonts w:hint="eastAsia" w:ascii="宋体" w:hAnsi="宋体" w:eastAsia="宋体" w:cs="宋体"/>
                <w:color w:val="000000"/>
                <w:kern w:val="0"/>
                <w:sz w:val="24"/>
                <w:szCs w:val="24"/>
                <w:lang w:val="en-US"/>
              </w:rPr>
            </w:pPr>
          </w:p>
        </w:tc>
        <w:tc>
          <w:tcPr>
            <w:tcW w:w="2685" w:type="dxa"/>
            <w:tcBorders>
              <w:top w:val="nil"/>
              <w:left w:val="nil"/>
              <w:bottom w:val="single" w:color="auto" w:sz="4" w:space="0"/>
              <w:right w:val="single" w:color="auto" w:sz="4" w:space="0"/>
            </w:tcBorders>
            <w:noWrap/>
            <w:vAlign w:val="center"/>
          </w:tcPr>
          <w:p w14:paraId="6964B15B">
            <w:pPr>
              <w:widowControl/>
              <w:jc w:val="center"/>
              <w:rPr>
                <w:rFonts w:hint="eastAsia" w:ascii="宋体" w:hAnsi="宋体" w:eastAsia="宋体" w:cs="宋体"/>
                <w:color w:val="000000"/>
                <w:kern w:val="0"/>
                <w:sz w:val="24"/>
                <w:szCs w:val="24"/>
                <w:lang w:val="en-US"/>
              </w:rPr>
            </w:pPr>
          </w:p>
        </w:tc>
      </w:tr>
      <w:tr w14:paraId="2169DD2F">
        <w:tblPrEx>
          <w:tblCellMar>
            <w:top w:w="0" w:type="dxa"/>
            <w:left w:w="108" w:type="dxa"/>
            <w:bottom w:w="0" w:type="dxa"/>
            <w:right w:w="108" w:type="dxa"/>
          </w:tblCellMar>
        </w:tblPrEx>
        <w:trPr>
          <w:trHeight w:val="413" w:hRule="atLeast"/>
          <w:jc w:val="center"/>
        </w:trPr>
        <w:tc>
          <w:tcPr>
            <w:tcW w:w="720" w:type="dxa"/>
            <w:tcBorders>
              <w:top w:val="nil"/>
              <w:left w:val="single" w:color="auto" w:sz="4" w:space="0"/>
              <w:bottom w:val="single" w:color="auto" w:sz="4" w:space="0"/>
              <w:right w:val="single" w:color="auto" w:sz="4" w:space="0"/>
            </w:tcBorders>
            <w:noWrap/>
            <w:vAlign w:val="center"/>
          </w:tcPr>
          <w:p w14:paraId="2441170B">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2</w:t>
            </w:r>
          </w:p>
        </w:tc>
        <w:tc>
          <w:tcPr>
            <w:tcW w:w="1486" w:type="dxa"/>
            <w:tcBorders>
              <w:top w:val="nil"/>
              <w:left w:val="nil"/>
              <w:bottom w:val="single" w:color="auto" w:sz="4" w:space="0"/>
              <w:right w:val="single" w:color="auto" w:sz="4" w:space="0"/>
            </w:tcBorders>
            <w:noWrap/>
            <w:vAlign w:val="center"/>
          </w:tcPr>
          <w:p w14:paraId="38880876">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维护平台</w:t>
            </w:r>
          </w:p>
        </w:tc>
        <w:tc>
          <w:tcPr>
            <w:tcW w:w="2340" w:type="dxa"/>
            <w:tcBorders>
              <w:top w:val="nil"/>
              <w:left w:val="nil"/>
              <w:bottom w:val="single" w:color="auto" w:sz="4" w:space="0"/>
              <w:right w:val="single" w:color="auto" w:sz="4" w:space="0"/>
            </w:tcBorders>
            <w:vAlign w:val="center"/>
          </w:tcPr>
          <w:p w14:paraId="24258F56">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根据现场定做</w:t>
            </w:r>
          </w:p>
        </w:tc>
        <w:tc>
          <w:tcPr>
            <w:tcW w:w="780" w:type="dxa"/>
            <w:tcBorders>
              <w:top w:val="nil"/>
              <w:left w:val="single" w:color="auto" w:sz="4" w:space="0"/>
              <w:bottom w:val="single" w:color="auto" w:sz="4" w:space="0"/>
              <w:right w:val="single" w:color="auto" w:sz="4" w:space="0"/>
            </w:tcBorders>
            <w:noWrap/>
            <w:vAlign w:val="center"/>
          </w:tcPr>
          <w:p w14:paraId="67403247">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w:t>
            </w:r>
          </w:p>
        </w:tc>
        <w:tc>
          <w:tcPr>
            <w:tcW w:w="810" w:type="dxa"/>
            <w:tcBorders>
              <w:top w:val="nil"/>
              <w:left w:val="nil"/>
              <w:bottom w:val="single" w:color="auto" w:sz="4" w:space="0"/>
              <w:right w:val="single" w:color="auto" w:sz="4" w:space="0"/>
            </w:tcBorders>
            <w:noWrap/>
            <w:vAlign w:val="center"/>
          </w:tcPr>
          <w:p w14:paraId="0420197C">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c>
          <w:tcPr>
            <w:tcW w:w="980" w:type="dxa"/>
            <w:tcBorders>
              <w:top w:val="nil"/>
              <w:left w:val="nil"/>
              <w:bottom w:val="single" w:color="auto" w:sz="4" w:space="0"/>
              <w:right w:val="single" w:color="auto" w:sz="4" w:space="0"/>
            </w:tcBorders>
            <w:noWrap/>
            <w:vAlign w:val="center"/>
          </w:tcPr>
          <w:p w14:paraId="6B162D2B">
            <w:pPr>
              <w:widowControl/>
              <w:jc w:val="center"/>
              <w:rPr>
                <w:rFonts w:hint="eastAsia" w:ascii="宋体" w:hAnsi="宋体" w:eastAsia="宋体" w:cs="宋体"/>
                <w:color w:val="000000"/>
                <w:kern w:val="0"/>
                <w:sz w:val="24"/>
                <w:szCs w:val="24"/>
                <w:lang w:val="en-US"/>
              </w:rPr>
            </w:pPr>
          </w:p>
        </w:tc>
        <w:tc>
          <w:tcPr>
            <w:tcW w:w="2685" w:type="dxa"/>
            <w:tcBorders>
              <w:top w:val="nil"/>
              <w:left w:val="nil"/>
              <w:bottom w:val="single" w:color="auto" w:sz="4" w:space="0"/>
              <w:right w:val="single" w:color="auto" w:sz="4" w:space="0"/>
            </w:tcBorders>
            <w:noWrap/>
            <w:vAlign w:val="center"/>
          </w:tcPr>
          <w:p w14:paraId="0F374631">
            <w:pPr>
              <w:widowControl/>
              <w:jc w:val="center"/>
              <w:rPr>
                <w:rFonts w:hint="eastAsia" w:ascii="宋体" w:hAnsi="宋体" w:eastAsia="宋体" w:cs="宋体"/>
                <w:color w:val="000000"/>
                <w:kern w:val="0"/>
                <w:sz w:val="24"/>
                <w:szCs w:val="24"/>
                <w:lang w:val="en-US"/>
              </w:rPr>
            </w:pPr>
          </w:p>
        </w:tc>
      </w:tr>
      <w:tr w14:paraId="4F517FE6">
        <w:tblPrEx>
          <w:tblCellMar>
            <w:top w:w="0" w:type="dxa"/>
            <w:left w:w="108" w:type="dxa"/>
            <w:bottom w:w="0" w:type="dxa"/>
            <w:right w:w="108" w:type="dxa"/>
          </w:tblCellMar>
        </w:tblPrEx>
        <w:trPr>
          <w:trHeight w:val="945" w:hRule="atLeast"/>
          <w:jc w:val="center"/>
        </w:trPr>
        <w:tc>
          <w:tcPr>
            <w:tcW w:w="720" w:type="dxa"/>
            <w:tcBorders>
              <w:top w:val="nil"/>
              <w:left w:val="single" w:color="auto" w:sz="4" w:space="0"/>
              <w:bottom w:val="single" w:color="auto" w:sz="4" w:space="0"/>
              <w:right w:val="single" w:color="auto" w:sz="4" w:space="0"/>
            </w:tcBorders>
            <w:noWrap/>
            <w:vAlign w:val="center"/>
          </w:tcPr>
          <w:p w14:paraId="412ABCE8">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w:t>
            </w:r>
          </w:p>
        </w:tc>
        <w:tc>
          <w:tcPr>
            <w:tcW w:w="1486" w:type="dxa"/>
            <w:tcBorders>
              <w:top w:val="nil"/>
              <w:left w:val="nil"/>
              <w:bottom w:val="single" w:color="auto" w:sz="4" w:space="0"/>
              <w:right w:val="single" w:color="auto" w:sz="4" w:space="0"/>
            </w:tcBorders>
            <w:noWrap/>
            <w:vAlign w:val="center"/>
          </w:tcPr>
          <w:p w14:paraId="7B167A21">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装车单磅上</w:t>
            </w:r>
            <w:r>
              <w:rPr>
                <w:rFonts w:hint="eastAsia" w:ascii="宋体" w:hAnsi="宋体" w:eastAsia="宋体" w:cs="宋体"/>
                <w:color w:val="000000"/>
                <w:kern w:val="0"/>
                <w:sz w:val="24"/>
                <w:szCs w:val="24"/>
                <w:lang w:val="en-US"/>
              </w:rPr>
              <w:t>自动</w:t>
            </w:r>
            <w:r>
              <w:rPr>
                <w:rFonts w:hint="eastAsia" w:ascii="宋体" w:hAnsi="宋体" w:eastAsia="宋体" w:cs="宋体"/>
                <w:color w:val="000000"/>
                <w:kern w:val="0"/>
                <w:sz w:val="24"/>
                <w:szCs w:val="24"/>
                <w:lang w:val="en-US" w:eastAsia="zh-CN"/>
              </w:rPr>
              <w:t>打印</w:t>
            </w:r>
            <w:r>
              <w:rPr>
                <w:rFonts w:hint="eastAsia" w:ascii="宋体" w:hAnsi="宋体" w:eastAsia="宋体" w:cs="宋体"/>
                <w:color w:val="000000"/>
                <w:kern w:val="0"/>
                <w:sz w:val="24"/>
                <w:szCs w:val="24"/>
                <w:lang w:val="en-US"/>
              </w:rPr>
              <w:t>系统</w:t>
            </w:r>
          </w:p>
        </w:tc>
        <w:tc>
          <w:tcPr>
            <w:tcW w:w="2340" w:type="dxa"/>
            <w:tcBorders>
              <w:top w:val="nil"/>
              <w:left w:val="nil"/>
              <w:bottom w:val="single" w:color="auto" w:sz="4" w:space="0"/>
              <w:right w:val="single" w:color="auto" w:sz="4" w:space="0"/>
            </w:tcBorders>
            <w:vAlign w:val="center"/>
          </w:tcPr>
          <w:p w14:paraId="6E068F3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包含：物料维护、打印机监控、自动换班、日志管理、语音提示等功能</w:t>
            </w:r>
            <w:r>
              <w:rPr>
                <w:rFonts w:hint="eastAsia" w:ascii="宋体" w:hAnsi="宋体" w:eastAsia="宋体" w:cs="宋体"/>
                <w:color w:val="000000"/>
                <w:kern w:val="0"/>
                <w:sz w:val="24"/>
                <w:szCs w:val="24"/>
                <w:lang w:val="en-US" w:eastAsia="zh-CN"/>
              </w:rPr>
              <w:t>。</w:t>
            </w:r>
          </w:p>
        </w:tc>
        <w:tc>
          <w:tcPr>
            <w:tcW w:w="780" w:type="dxa"/>
            <w:tcBorders>
              <w:top w:val="nil"/>
              <w:left w:val="single" w:color="auto" w:sz="4" w:space="0"/>
              <w:bottom w:val="single" w:color="auto" w:sz="4" w:space="0"/>
              <w:right w:val="single" w:color="auto" w:sz="4" w:space="0"/>
            </w:tcBorders>
            <w:noWrap/>
            <w:vAlign w:val="center"/>
          </w:tcPr>
          <w:p w14:paraId="50DB3113">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w:t>
            </w:r>
          </w:p>
        </w:tc>
        <w:tc>
          <w:tcPr>
            <w:tcW w:w="810" w:type="dxa"/>
            <w:tcBorders>
              <w:top w:val="nil"/>
              <w:left w:val="nil"/>
              <w:bottom w:val="single" w:color="auto" w:sz="4" w:space="0"/>
              <w:right w:val="single" w:color="auto" w:sz="4" w:space="0"/>
            </w:tcBorders>
            <w:noWrap/>
            <w:vAlign w:val="center"/>
          </w:tcPr>
          <w:p w14:paraId="179D3203">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套</w:t>
            </w:r>
          </w:p>
        </w:tc>
        <w:tc>
          <w:tcPr>
            <w:tcW w:w="980" w:type="dxa"/>
            <w:tcBorders>
              <w:top w:val="nil"/>
              <w:left w:val="nil"/>
              <w:bottom w:val="single" w:color="auto" w:sz="4" w:space="0"/>
              <w:right w:val="single" w:color="auto" w:sz="4" w:space="0"/>
            </w:tcBorders>
            <w:noWrap/>
            <w:vAlign w:val="center"/>
          </w:tcPr>
          <w:p w14:paraId="4EBD2DE7">
            <w:pPr>
              <w:widowControl/>
              <w:jc w:val="center"/>
              <w:rPr>
                <w:rFonts w:hint="eastAsia" w:ascii="宋体" w:hAnsi="宋体" w:eastAsia="宋体" w:cs="宋体"/>
                <w:color w:val="000000"/>
                <w:kern w:val="0"/>
                <w:sz w:val="24"/>
                <w:szCs w:val="24"/>
                <w:lang w:val="en-US"/>
              </w:rPr>
            </w:pPr>
          </w:p>
        </w:tc>
        <w:tc>
          <w:tcPr>
            <w:tcW w:w="2685" w:type="dxa"/>
            <w:tcBorders>
              <w:top w:val="nil"/>
              <w:left w:val="nil"/>
              <w:bottom w:val="single" w:color="auto" w:sz="4" w:space="0"/>
              <w:right w:val="single" w:color="auto" w:sz="4" w:space="0"/>
            </w:tcBorders>
            <w:noWrap/>
            <w:vAlign w:val="center"/>
          </w:tcPr>
          <w:p w14:paraId="7AABAD58">
            <w:pPr>
              <w:widowControl/>
              <w:jc w:val="center"/>
              <w:rPr>
                <w:rFonts w:hint="eastAsia" w:ascii="宋体" w:hAnsi="宋体" w:eastAsia="宋体" w:cs="宋体"/>
                <w:color w:val="000000"/>
                <w:kern w:val="0"/>
                <w:sz w:val="24"/>
                <w:szCs w:val="24"/>
                <w:lang w:val="en-US"/>
              </w:rPr>
            </w:pPr>
          </w:p>
        </w:tc>
      </w:tr>
      <w:tr w14:paraId="14DBE123">
        <w:tblPrEx>
          <w:tblCellMar>
            <w:top w:w="0" w:type="dxa"/>
            <w:left w:w="108" w:type="dxa"/>
            <w:bottom w:w="0" w:type="dxa"/>
            <w:right w:w="108" w:type="dxa"/>
          </w:tblCellMar>
        </w:tblPrEx>
        <w:trPr>
          <w:trHeight w:val="661" w:hRule="atLeast"/>
          <w:jc w:val="center"/>
        </w:trPr>
        <w:tc>
          <w:tcPr>
            <w:tcW w:w="720" w:type="dxa"/>
            <w:tcBorders>
              <w:top w:val="nil"/>
              <w:left w:val="single" w:color="auto" w:sz="4" w:space="0"/>
              <w:bottom w:val="single" w:color="auto" w:sz="4" w:space="0"/>
              <w:right w:val="single" w:color="auto" w:sz="4" w:space="0"/>
            </w:tcBorders>
            <w:noWrap/>
            <w:vAlign w:val="center"/>
          </w:tcPr>
          <w:p w14:paraId="2DCD188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486" w:type="dxa"/>
            <w:tcBorders>
              <w:top w:val="nil"/>
              <w:left w:val="nil"/>
              <w:bottom w:val="single" w:color="auto" w:sz="4" w:space="0"/>
              <w:right w:val="single" w:color="auto" w:sz="4" w:space="0"/>
            </w:tcBorders>
            <w:noWrap/>
            <w:vAlign w:val="center"/>
          </w:tcPr>
          <w:p w14:paraId="3957786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计量报表优化升级</w:t>
            </w:r>
          </w:p>
        </w:tc>
        <w:tc>
          <w:tcPr>
            <w:tcW w:w="2340" w:type="dxa"/>
            <w:tcBorders>
              <w:top w:val="nil"/>
              <w:left w:val="nil"/>
              <w:bottom w:val="single" w:color="auto" w:sz="4" w:space="0"/>
              <w:right w:val="single" w:color="auto" w:sz="4" w:space="0"/>
            </w:tcBorders>
            <w:vAlign w:val="center"/>
          </w:tcPr>
          <w:p w14:paraId="2107C24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计量系统报表查询功能优化升级。</w:t>
            </w:r>
          </w:p>
        </w:tc>
        <w:tc>
          <w:tcPr>
            <w:tcW w:w="780" w:type="dxa"/>
            <w:tcBorders>
              <w:top w:val="nil"/>
              <w:left w:val="single" w:color="auto" w:sz="4" w:space="0"/>
              <w:bottom w:val="single" w:color="auto" w:sz="4" w:space="0"/>
              <w:right w:val="single" w:color="auto" w:sz="4" w:space="0"/>
            </w:tcBorders>
            <w:noWrap/>
            <w:vAlign w:val="center"/>
          </w:tcPr>
          <w:p w14:paraId="3AF3EB49">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10" w:type="dxa"/>
            <w:tcBorders>
              <w:top w:val="nil"/>
              <w:left w:val="nil"/>
              <w:bottom w:val="single" w:color="auto" w:sz="4" w:space="0"/>
              <w:right w:val="single" w:color="auto" w:sz="4" w:space="0"/>
            </w:tcBorders>
            <w:noWrap/>
            <w:vAlign w:val="center"/>
          </w:tcPr>
          <w:p w14:paraId="14068DE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w:t>
            </w:r>
          </w:p>
        </w:tc>
        <w:tc>
          <w:tcPr>
            <w:tcW w:w="980" w:type="dxa"/>
            <w:tcBorders>
              <w:top w:val="nil"/>
              <w:left w:val="nil"/>
              <w:bottom w:val="single" w:color="auto" w:sz="4" w:space="0"/>
              <w:right w:val="single" w:color="auto" w:sz="4" w:space="0"/>
            </w:tcBorders>
            <w:noWrap/>
            <w:vAlign w:val="center"/>
          </w:tcPr>
          <w:p w14:paraId="7F7743B1">
            <w:pPr>
              <w:widowControl/>
              <w:jc w:val="center"/>
              <w:rPr>
                <w:rFonts w:hint="eastAsia" w:ascii="宋体" w:hAnsi="宋体" w:eastAsia="宋体" w:cs="宋体"/>
                <w:color w:val="000000"/>
                <w:kern w:val="0"/>
                <w:sz w:val="24"/>
                <w:szCs w:val="24"/>
                <w:lang w:val="en-US" w:eastAsia="zh-CN"/>
              </w:rPr>
            </w:pPr>
          </w:p>
        </w:tc>
        <w:tc>
          <w:tcPr>
            <w:tcW w:w="2685" w:type="dxa"/>
            <w:tcBorders>
              <w:top w:val="nil"/>
              <w:left w:val="nil"/>
              <w:bottom w:val="single" w:color="auto" w:sz="4" w:space="0"/>
              <w:right w:val="single" w:color="auto" w:sz="4" w:space="0"/>
            </w:tcBorders>
            <w:noWrap/>
            <w:vAlign w:val="center"/>
          </w:tcPr>
          <w:p w14:paraId="79695E27">
            <w:pPr>
              <w:widowControl/>
              <w:jc w:val="center"/>
              <w:rPr>
                <w:rFonts w:hint="eastAsia" w:ascii="宋体" w:hAnsi="宋体" w:eastAsia="宋体" w:cs="宋体"/>
                <w:color w:val="000000"/>
                <w:kern w:val="0"/>
                <w:sz w:val="24"/>
                <w:szCs w:val="24"/>
                <w:lang w:val="en-US" w:eastAsia="zh-CN"/>
              </w:rPr>
            </w:pPr>
          </w:p>
        </w:tc>
      </w:tr>
      <w:tr w14:paraId="40D075ED">
        <w:tblPrEx>
          <w:tblCellMar>
            <w:top w:w="0" w:type="dxa"/>
            <w:left w:w="108" w:type="dxa"/>
            <w:bottom w:w="0" w:type="dxa"/>
            <w:right w:w="108" w:type="dxa"/>
          </w:tblCellMar>
        </w:tblPrEx>
        <w:trPr>
          <w:trHeight w:val="720" w:hRule="atLeast"/>
          <w:jc w:val="center"/>
        </w:trPr>
        <w:tc>
          <w:tcPr>
            <w:tcW w:w="720" w:type="dxa"/>
            <w:tcBorders>
              <w:top w:val="nil"/>
              <w:left w:val="single" w:color="auto" w:sz="4" w:space="0"/>
              <w:bottom w:val="single" w:color="auto" w:sz="4" w:space="0"/>
              <w:right w:val="single" w:color="auto" w:sz="4" w:space="0"/>
            </w:tcBorders>
            <w:noWrap/>
            <w:vAlign w:val="center"/>
          </w:tcPr>
          <w:p w14:paraId="24F138D3">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486" w:type="dxa"/>
            <w:tcBorders>
              <w:top w:val="nil"/>
              <w:left w:val="nil"/>
              <w:bottom w:val="single" w:color="auto" w:sz="4" w:space="0"/>
              <w:right w:val="single" w:color="auto" w:sz="4" w:space="0"/>
            </w:tcBorders>
            <w:noWrap/>
            <w:vAlign w:val="center"/>
          </w:tcPr>
          <w:p w14:paraId="691B1EA0">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一卡通数据库巡检</w:t>
            </w:r>
          </w:p>
        </w:tc>
        <w:tc>
          <w:tcPr>
            <w:tcW w:w="2340" w:type="dxa"/>
            <w:tcBorders>
              <w:top w:val="nil"/>
              <w:left w:val="nil"/>
              <w:bottom w:val="single" w:color="auto" w:sz="4" w:space="0"/>
              <w:right w:val="single" w:color="auto" w:sz="4" w:space="0"/>
            </w:tcBorders>
            <w:vAlign w:val="center"/>
          </w:tcPr>
          <w:p w14:paraId="7CE35525">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Oracle 数据库现状检查与诊断评估，出具巡检报告。</w:t>
            </w:r>
          </w:p>
        </w:tc>
        <w:tc>
          <w:tcPr>
            <w:tcW w:w="780" w:type="dxa"/>
            <w:tcBorders>
              <w:top w:val="nil"/>
              <w:left w:val="single" w:color="auto" w:sz="4" w:space="0"/>
              <w:bottom w:val="single" w:color="auto" w:sz="4" w:space="0"/>
              <w:right w:val="single" w:color="auto" w:sz="4" w:space="0"/>
            </w:tcBorders>
            <w:noWrap/>
            <w:vAlign w:val="center"/>
          </w:tcPr>
          <w:p w14:paraId="7ECD89D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10" w:type="dxa"/>
            <w:tcBorders>
              <w:top w:val="nil"/>
              <w:left w:val="nil"/>
              <w:bottom w:val="single" w:color="auto" w:sz="4" w:space="0"/>
              <w:right w:val="single" w:color="auto" w:sz="4" w:space="0"/>
            </w:tcBorders>
            <w:noWrap/>
            <w:vAlign w:val="center"/>
          </w:tcPr>
          <w:p w14:paraId="43BC4782">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w:t>
            </w:r>
          </w:p>
        </w:tc>
        <w:tc>
          <w:tcPr>
            <w:tcW w:w="980" w:type="dxa"/>
            <w:tcBorders>
              <w:top w:val="nil"/>
              <w:left w:val="nil"/>
              <w:bottom w:val="single" w:color="auto" w:sz="4" w:space="0"/>
              <w:right w:val="single" w:color="auto" w:sz="4" w:space="0"/>
            </w:tcBorders>
            <w:noWrap/>
            <w:vAlign w:val="center"/>
          </w:tcPr>
          <w:p w14:paraId="0177A2D0">
            <w:pPr>
              <w:widowControl/>
              <w:jc w:val="center"/>
              <w:rPr>
                <w:rFonts w:hint="eastAsia" w:ascii="宋体" w:hAnsi="宋体" w:eastAsia="宋体" w:cs="宋体"/>
                <w:color w:val="000000"/>
                <w:kern w:val="0"/>
                <w:sz w:val="24"/>
                <w:szCs w:val="24"/>
                <w:lang w:val="en-US" w:eastAsia="zh-CN"/>
              </w:rPr>
            </w:pPr>
          </w:p>
        </w:tc>
        <w:tc>
          <w:tcPr>
            <w:tcW w:w="2685" w:type="dxa"/>
            <w:tcBorders>
              <w:top w:val="nil"/>
              <w:left w:val="nil"/>
              <w:bottom w:val="single" w:color="auto" w:sz="4" w:space="0"/>
              <w:right w:val="single" w:color="auto" w:sz="4" w:space="0"/>
            </w:tcBorders>
            <w:noWrap/>
            <w:vAlign w:val="center"/>
          </w:tcPr>
          <w:p w14:paraId="3A512E45">
            <w:pPr>
              <w:widowControl/>
              <w:jc w:val="center"/>
              <w:rPr>
                <w:rFonts w:hint="eastAsia" w:ascii="宋体" w:hAnsi="宋体" w:eastAsia="宋体" w:cs="宋体"/>
                <w:color w:val="000000"/>
                <w:kern w:val="0"/>
                <w:sz w:val="24"/>
                <w:szCs w:val="24"/>
                <w:lang w:val="en-US" w:eastAsia="zh-CN"/>
              </w:rPr>
            </w:pPr>
          </w:p>
        </w:tc>
      </w:tr>
      <w:tr w14:paraId="57616B06">
        <w:tblPrEx>
          <w:tblCellMar>
            <w:top w:w="0" w:type="dxa"/>
            <w:left w:w="108" w:type="dxa"/>
            <w:bottom w:w="0" w:type="dxa"/>
            <w:right w:w="108" w:type="dxa"/>
          </w:tblCellMar>
        </w:tblPrEx>
        <w:trPr>
          <w:trHeight w:val="6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17735D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486" w:type="dxa"/>
            <w:tcBorders>
              <w:top w:val="single" w:color="auto" w:sz="4" w:space="0"/>
              <w:left w:val="nil"/>
              <w:bottom w:val="single" w:color="auto" w:sz="4" w:space="0"/>
              <w:right w:val="single" w:color="auto" w:sz="4" w:space="0"/>
            </w:tcBorders>
            <w:noWrap/>
            <w:vAlign w:val="center"/>
          </w:tcPr>
          <w:p w14:paraId="1C5D497A">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一卡通系统接口</w:t>
            </w:r>
          </w:p>
        </w:tc>
        <w:tc>
          <w:tcPr>
            <w:tcW w:w="2340" w:type="dxa"/>
            <w:tcBorders>
              <w:top w:val="single" w:color="auto" w:sz="4" w:space="0"/>
              <w:left w:val="nil"/>
              <w:bottom w:val="single" w:color="auto" w:sz="4" w:space="0"/>
              <w:right w:val="single" w:color="auto" w:sz="4" w:space="0"/>
            </w:tcBorders>
            <w:vAlign w:val="center"/>
          </w:tcPr>
          <w:p w14:paraId="0EA0F917">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实现与一卡通系统和自动打单系统的对接</w:t>
            </w:r>
            <w:r>
              <w:rPr>
                <w:rFonts w:hint="eastAsia" w:ascii="宋体" w:hAnsi="宋体" w:eastAsia="宋体" w:cs="宋体"/>
                <w:color w:val="000000"/>
                <w:kern w:val="0"/>
                <w:sz w:val="24"/>
                <w:szCs w:val="24"/>
                <w:lang w:val="en-US" w:eastAsia="zh-CN"/>
              </w:rPr>
              <w:t>。</w:t>
            </w:r>
          </w:p>
        </w:tc>
        <w:tc>
          <w:tcPr>
            <w:tcW w:w="780" w:type="dxa"/>
            <w:tcBorders>
              <w:top w:val="single" w:color="auto" w:sz="4" w:space="0"/>
              <w:left w:val="single" w:color="auto" w:sz="4" w:space="0"/>
              <w:bottom w:val="single" w:color="auto" w:sz="4" w:space="0"/>
              <w:right w:val="single" w:color="auto" w:sz="4" w:space="0"/>
            </w:tcBorders>
            <w:noWrap/>
            <w:vAlign w:val="center"/>
          </w:tcPr>
          <w:p w14:paraId="2E6106A1">
            <w:pPr>
              <w:widowControl/>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w:t>
            </w:r>
          </w:p>
        </w:tc>
        <w:tc>
          <w:tcPr>
            <w:tcW w:w="810" w:type="dxa"/>
            <w:tcBorders>
              <w:top w:val="single" w:color="auto" w:sz="4" w:space="0"/>
              <w:left w:val="nil"/>
              <w:bottom w:val="single" w:color="auto" w:sz="4" w:space="0"/>
              <w:right w:val="single" w:color="auto" w:sz="4" w:space="0"/>
            </w:tcBorders>
            <w:noWrap/>
            <w:vAlign w:val="center"/>
          </w:tcPr>
          <w:p w14:paraId="21C6CCC8">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w:t>
            </w:r>
          </w:p>
        </w:tc>
        <w:tc>
          <w:tcPr>
            <w:tcW w:w="980" w:type="dxa"/>
            <w:tcBorders>
              <w:top w:val="single" w:color="auto" w:sz="4" w:space="0"/>
              <w:left w:val="nil"/>
              <w:bottom w:val="single" w:color="auto" w:sz="4" w:space="0"/>
              <w:right w:val="single" w:color="auto" w:sz="4" w:space="0"/>
            </w:tcBorders>
            <w:noWrap/>
            <w:vAlign w:val="center"/>
          </w:tcPr>
          <w:p w14:paraId="1FDF2878">
            <w:pPr>
              <w:widowControl/>
              <w:jc w:val="center"/>
              <w:rPr>
                <w:rFonts w:hint="eastAsia" w:ascii="宋体" w:hAnsi="宋体" w:eastAsia="宋体" w:cs="宋体"/>
                <w:color w:val="000000"/>
                <w:kern w:val="0"/>
                <w:sz w:val="24"/>
                <w:szCs w:val="24"/>
                <w:lang w:val="en-US"/>
              </w:rPr>
            </w:pPr>
          </w:p>
        </w:tc>
        <w:tc>
          <w:tcPr>
            <w:tcW w:w="2685" w:type="dxa"/>
            <w:tcBorders>
              <w:top w:val="single" w:color="auto" w:sz="4" w:space="0"/>
              <w:left w:val="nil"/>
              <w:bottom w:val="single" w:color="auto" w:sz="4" w:space="0"/>
              <w:right w:val="single" w:color="auto" w:sz="4" w:space="0"/>
            </w:tcBorders>
            <w:noWrap/>
            <w:vAlign w:val="center"/>
          </w:tcPr>
          <w:p w14:paraId="5B7D364F">
            <w:pPr>
              <w:widowControl/>
              <w:jc w:val="center"/>
              <w:rPr>
                <w:rFonts w:hint="eastAsia" w:ascii="宋体" w:hAnsi="宋体" w:eastAsia="宋体" w:cs="宋体"/>
                <w:color w:val="000000"/>
                <w:kern w:val="0"/>
                <w:sz w:val="24"/>
                <w:szCs w:val="24"/>
                <w:lang w:val="en-US"/>
              </w:rPr>
            </w:pPr>
          </w:p>
        </w:tc>
      </w:tr>
      <w:tr w14:paraId="615A337B">
        <w:tblPrEx>
          <w:tblCellMar>
            <w:top w:w="0" w:type="dxa"/>
            <w:left w:w="108" w:type="dxa"/>
            <w:bottom w:w="0" w:type="dxa"/>
            <w:right w:w="108" w:type="dxa"/>
          </w:tblCellMar>
        </w:tblPrEx>
        <w:trPr>
          <w:trHeight w:val="558" w:hRule="atLeast"/>
          <w:jc w:val="center"/>
        </w:trPr>
        <w:tc>
          <w:tcPr>
            <w:tcW w:w="7116" w:type="dxa"/>
            <w:gridSpan w:val="6"/>
            <w:vMerge w:val="restart"/>
            <w:tcBorders>
              <w:top w:val="single" w:color="auto" w:sz="4" w:space="0"/>
              <w:left w:val="single" w:color="auto" w:sz="4" w:space="0"/>
              <w:right w:val="single" w:color="auto" w:sz="4" w:space="0"/>
            </w:tcBorders>
            <w:noWrap/>
            <w:vAlign w:val="center"/>
          </w:tcPr>
          <w:p w14:paraId="79F659F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r>
              <w:rPr>
                <w:rFonts w:hint="eastAsia" w:cs="宋体"/>
                <w:color w:val="000000"/>
                <w:kern w:val="0"/>
                <w:sz w:val="24"/>
                <w:szCs w:val="24"/>
                <w:lang w:val="en-US" w:eastAsia="zh-CN"/>
              </w:rPr>
              <w:t>（含税价，税率</w:t>
            </w:r>
            <w:r>
              <w:rPr>
                <w:rFonts w:hint="eastAsia" w:cs="宋体"/>
                <w:color w:val="000000"/>
                <w:kern w:val="0"/>
                <w:sz w:val="24"/>
                <w:szCs w:val="24"/>
                <w:u w:val="single"/>
                <w:lang w:val="en-US" w:eastAsia="zh-CN"/>
              </w:rPr>
              <w:t xml:space="preserve">    </w:t>
            </w:r>
            <w:r>
              <w:rPr>
                <w:rFonts w:hint="eastAsia" w:cs="宋体"/>
                <w:color w:val="000000"/>
                <w:kern w:val="0"/>
                <w:sz w:val="24"/>
                <w:szCs w:val="24"/>
                <w:u w:val="none"/>
                <w:lang w:val="en-US" w:eastAsia="zh-CN"/>
              </w:rPr>
              <w:t>%</w:t>
            </w:r>
            <w:r>
              <w:rPr>
                <w:rFonts w:hint="eastAsia" w:cs="宋体"/>
                <w:color w:val="000000"/>
                <w:kern w:val="0"/>
                <w:sz w:val="24"/>
                <w:szCs w:val="24"/>
                <w:lang w:val="en-US" w:eastAsia="zh-CN"/>
              </w:rPr>
              <w:t>）</w:t>
            </w:r>
            <w:r>
              <w:rPr>
                <w:rFonts w:hint="eastAsia" w:ascii="宋体" w:hAnsi="宋体" w:eastAsia="宋体" w:cs="宋体"/>
                <w:color w:val="000000"/>
                <w:kern w:val="0"/>
                <w:sz w:val="24"/>
                <w:szCs w:val="24"/>
                <w:lang w:val="en-US" w:eastAsia="zh-CN"/>
              </w:rPr>
              <w:t>：</w:t>
            </w:r>
          </w:p>
        </w:tc>
        <w:tc>
          <w:tcPr>
            <w:tcW w:w="2685" w:type="dxa"/>
            <w:tcBorders>
              <w:top w:val="single" w:color="auto" w:sz="4" w:space="0"/>
              <w:left w:val="nil"/>
              <w:bottom w:val="single" w:color="auto" w:sz="4" w:space="0"/>
              <w:right w:val="single" w:color="auto" w:sz="4" w:space="0"/>
            </w:tcBorders>
            <w:noWrap/>
            <w:vAlign w:val="center"/>
          </w:tcPr>
          <w:p w14:paraId="4E19B6F7">
            <w:pPr>
              <w:widowControl/>
              <w:jc w:val="both"/>
              <w:rPr>
                <w:rFonts w:hint="eastAsia" w:ascii="宋体" w:hAnsi="宋体" w:eastAsia="宋体" w:cs="宋体"/>
                <w:color w:val="000000"/>
                <w:kern w:val="0"/>
                <w:sz w:val="24"/>
                <w:szCs w:val="24"/>
                <w:lang w:val="en-US"/>
              </w:rPr>
            </w:pPr>
            <w:r>
              <w:rPr>
                <w:rFonts w:hint="eastAsia" w:ascii="宋体" w:hAnsi="宋体" w:cs="仿宋"/>
                <w:color w:val="000000"/>
                <w:sz w:val="24"/>
              </w:rPr>
              <w:t>小写：</w:t>
            </w:r>
            <w:r>
              <w:rPr>
                <w:rFonts w:hint="eastAsia" w:cs="仿宋"/>
                <w:color w:val="000000"/>
                <w:sz w:val="24"/>
                <w:u w:val="single"/>
                <w:lang w:val="en-US" w:eastAsia="zh-CN"/>
              </w:rPr>
              <w:t xml:space="preserve">                </w:t>
            </w:r>
            <w:r>
              <w:rPr>
                <w:rFonts w:hint="eastAsia" w:ascii="宋体" w:hAnsi="宋体" w:cs="仿宋"/>
                <w:color w:val="000000"/>
                <w:sz w:val="24"/>
                <w:lang w:val="en-US" w:eastAsia="zh-CN"/>
              </w:rPr>
              <w:t xml:space="preserve">     </w:t>
            </w:r>
          </w:p>
        </w:tc>
      </w:tr>
      <w:tr w14:paraId="0CB7B47F">
        <w:tblPrEx>
          <w:tblCellMar>
            <w:top w:w="0" w:type="dxa"/>
            <w:left w:w="108" w:type="dxa"/>
            <w:bottom w:w="0" w:type="dxa"/>
            <w:right w:w="108" w:type="dxa"/>
          </w:tblCellMar>
        </w:tblPrEx>
        <w:trPr>
          <w:trHeight w:val="578" w:hRule="atLeast"/>
          <w:jc w:val="center"/>
        </w:trPr>
        <w:tc>
          <w:tcPr>
            <w:tcW w:w="7116" w:type="dxa"/>
            <w:gridSpan w:val="6"/>
            <w:vMerge w:val="continue"/>
            <w:tcBorders>
              <w:left w:val="single" w:color="auto" w:sz="4" w:space="0"/>
              <w:bottom w:val="single" w:color="auto" w:sz="4" w:space="0"/>
              <w:right w:val="single" w:color="auto" w:sz="4" w:space="0"/>
            </w:tcBorders>
            <w:noWrap/>
            <w:vAlign w:val="center"/>
          </w:tcPr>
          <w:p w14:paraId="55D3C5DA">
            <w:pPr>
              <w:widowControl/>
              <w:jc w:val="center"/>
            </w:pPr>
          </w:p>
        </w:tc>
        <w:tc>
          <w:tcPr>
            <w:tcW w:w="2685" w:type="dxa"/>
            <w:tcBorders>
              <w:top w:val="single" w:color="auto" w:sz="4" w:space="0"/>
              <w:left w:val="nil"/>
              <w:bottom w:val="single" w:color="auto" w:sz="4" w:space="0"/>
              <w:right w:val="single" w:color="auto" w:sz="4" w:space="0"/>
            </w:tcBorders>
            <w:noWrap/>
            <w:vAlign w:val="center"/>
          </w:tcPr>
          <w:p w14:paraId="04438F5E">
            <w:pPr>
              <w:widowControl/>
              <w:jc w:val="both"/>
              <w:rPr>
                <w:rFonts w:hint="eastAsia" w:ascii="宋体" w:hAnsi="宋体" w:eastAsia="宋体" w:cs="宋体"/>
                <w:color w:val="000000"/>
                <w:kern w:val="0"/>
                <w:sz w:val="24"/>
                <w:szCs w:val="24"/>
                <w:lang w:val="en-US"/>
              </w:rPr>
            </w:pPr>
            <w:r>
              <w:rPr>
                <w:rFonts w:hint="eastAsia" w:ascii="宋体" w:hAnsi="宋体" w:cs="仿宋"/>
                <w:color w:val="000000"/>
                <w:sz w:val="24"/>
              </w:rPr>
              <w:t>大写：</w:t>
            </w:r>
            <w:r>
              <w:rPr>
                <w:rFonts w:hint="eastAsia" w:cs="仿宋"/>
                <w:color w:val="000000"/>
                <w:sz w:val="24"/>
                <w:u w:val="single"/>
                <w:lang w:val="en-US" w:eastAsia="zh-CN"/>
              </w:rPr>
              <w:t xml:space="preserve">              </w:t>
            </w:r>
            <w:r>
              <w:rPr>
                <w:rFonts w:hint="eastAsia" w:ascii="宋体" w:hAnsi="宋体" w:cs="仿宋"/>
                <w:color w:val="000000"/>
                <w:sz w:val="24"/>
                <w:lang w:val="en-US" w:eastAsia="zh-CN"/>
              </w:rPr>
              <w:t xml:space="preserve">    </w:t>
            </w:r>
          </w:p>
        </w:tc>
      </w:tr>
      <w:tr w14:paraId="2F1C1D37">
        <w:tblPrEx>
          <w:tblCellMar>
            <w:top w:w="0" w:type="dxa"/>
            <w:left w:w="108" w:type="dxa"/>
            <w:bottom w:w="0" w:type="dxa"/>
            <w:right w:w="108" w:type="dxa"/>
          </w:tblCellMar>
        </w:tblPrEx>
        <w:trPr>
          <w:trHeight w:val="578" w:hRule="atLeast"/>
          <w:jc w:val="center"/>
        </w:trPr>
        <w:tc>
          <w:tcPr>
            <w:tcW w:w="7116" w:type="dxa"/>
            <w:gridSpan w:val="6"/>
            <w:vMerge w:val="restart"/>
            <w:tcBorders>
              <w:left w:val="single" w:color="auto" w:sz="4" w:space="0"/>
              <w:right w:val="single" w:color="auto" w:sz="4" w:space="0"/>
            </w:tcBorders>
            <w:noWrap/>
            <w:vAlign w:val="center"/>
          </w:tcPr>
          <w:p w14:paraId="148EE9DF">
            <w:pPr>
              <w:widowControl/>
              <w:jc w:val="both"/>
              <w:rPr>
                <w:rFonts w:hint="default" w:eastAsia="宋体"/>
                <w:lang w:val="en-US" w:eastAsia="zh-CN"/>
              </w:rPr>
            </w:pPr>
            <w:r>
              <w:rPr>
                <w:rFonts w:hint="eastAsia"/>
                <w:lang w:val="en-US" w:eastAsia="zh-CN"/>
              </w:rPr>
              <w:t xml:space="preserve">               合计（不含税价）：</w:t>
            </w:r>
          </w:p>
        </w:tc>
        <w:tc>
          <w:tcPr>
            <w:tcW w:w="2685" w:type="dxa"/>
            <w:tcBorders>
              <w:top w:val="single" w:color="auto" w:sz="4" w:space="0"/>
              <w:left w:val="nil"/>
              <w:bottom w:val="single" w:color="auto" w:sz="4" w:space="0"/>
              <w:right w:val="single" w:color="auto" w:sz="4" w:space="0"/>
            </w:tcBorders>
            <w:noWrap/>
            <w:vAlign w:val="center"/>
          </w:tcPr>
          <w:p w14:paraId="3E52A97F">
            <w:pPr>
              <w:widowControl/>
              <w:jc w:val="both"/>
              <w:rPr>
                <w:rFonts w:hint="eastAsia" w:ascii="宋体" w:hAnsi="宋体" w:cs="仿宋"/>
                <w:color w:val="000000"/>
                <w:sz w:val="24"/>
              </w:rPr>
            </w:pPr>
            <w:r>
              <w:rPr>
                <w:rFonts w:hint="eastAsia" w:ascii="宋体" w:hAnsi="宋体" w:cs="仿宋"/>
                <w:color w:val="000000"/>
                <w:sz w:val="24"/>
              </w:rPr>
              <w:t>小写：</w:t>
            </w:r>
            <w:r>
              <w:rPr>
                <w:rFonts w:hint="eastAsia" w:cs="仿宋"/>
                <w:color w:val="000000"/>
                <w:sz w:val="24"/>
                <w:u w:val="single"/>
                <w:lang w:val="en-US" w:eastAsia="zh-CN"/>
              </w:rPr>
              <w:t xml:space="preserve">                </w:t>
            </w:r>
            <w:r>
              <w:rPr>
                <w:rFonts w:hint="eastAsia" w:ascii="宋体" w:hAnsi="宋体" w:cs="仿宋"/>
                <w:color w:val="000000"/>
                <w:sz w:val="24"/>
                <w:lang w:val="en-US" w:eastAsia="zh-CN"/>
              </w:rPr>
              <w:t xml:space="preserve">     </w:t>
            </w:r>
          </w:p>
        </w:tc>
      </w:tr>
      <w:tr w14:paraId="3E337E56">
        <w:tblPrEx>
          <w:tblCellMar>
            <w:top w:w="0" w:type="dxa"/>
            <w:left w:w="108" w:type="dxa"/>
            <w:bottom w:w="0" w:type="dxa"/>
            <w:right w:w="108" w:type="dxa"/>
          </w:tblCellMar>
        </w:tblPrEx>
        <w:trPr>
          <w:trHeight w:val="578" w:hRule="atLeast"/>
          <w:jc w:val="center"/>
        </w:trPr>
        <w:tc>
          <w:tcPr>
            <w:tcW w:w="7116" w:type="dxa"/>
            <w:gridSpan w:val="6"/>
            <w:vMerge w:val="continue"/>
            <w:tcBorders>
              <w:left w:val="single" w:color="auto" w:sz="4" w:space="0"/>
              <w:bottom w:val="single" w:color="auto" w:sz="4" w:space="0"/>
              <w:right w:val="single" w:color="auto" w:sz="4" w:space="0"/>
            </w:tcBorders>
            <w:noWrap/>
            <w:vAlign w:val="center"/>
          </w:tcPr>
          <w:p w14:paraId="640D0796">
            <w:pPr>
              <w:widowControl/>
              <w:jc w:val="center"/>
            </w:pPr>
          </w:p>
        </w:tc>
        <w:tc>
          <w:tcPr>
            <w:tcW w:w="2685" w:type="dxa"/>
            <w:tcBorders>
              <w:top w:val="single" w:color="auto" w:sz="4" w:space="0"/>
              <w:left w:val="nil"/>
              <w:bottom w:val="single" w:color="auto" w:sz="4" w:space="0"/>
              <w:right w:val="single" w:color="auto" w:sz="4" w:space="0"/>
            </w:tcBorders>
            <w:noWrap/>
            <w:vAlign w:val="center"/>
          </w:tcPr>
          <w:p w14:paraId="18A7DF35">
            <w:pPr>
              <w:widowControl/>
              <w:jc w:val="both"/>
              <w:rPr>
                <w:rFonts w:hint="eastAsia" w:ascii="宋体" w:hAnsi="宋体" w:cs="仿宋"/>
                <w:color w:val="000000"/>
                <w:sz w:val="24"/>
              </w:rPr>
            </w:pPr>
            <w:r>
              <w:rPr>
                <w:rFonts w:hint="eastAsia" w:ascii="宋体" w:hAnsi="宋体" w:cs="仿宋"/>
                <w:color w:val="000000"/>
                <w:sz w:val="24"/>
              </w:rPr>
              <w:t>大写：</w:t>
            </w:r>
            <w:r>
              <w:rPr>
                <w:rFonts w:hint="eastAsia" w:cs="仿宋"/>
                <w:color w:val="000000"/>
                <w:sz w:val="24"/>
                <w:u w:val="single"/>
                <w:lang w:val="en-US" w:eastAsia="zh-CN"/>
              </w:rPr>
              <w:t xml:space="preserve">              </w:t>
            </w:r>
            <w:r>
              <w:rPr>
                <w:rFonts w:hint="eastAsia" w:ascii="宋体" w:hAnsi="宋体" w:cs="仿宋"/>
                <w:color w:val="000000"/>
                <w:sz w:val="24"/>
                <w:lang w:val="en-US" w:eastAsia="zh-CN"/>
              </w:rPr>
              <w:t xml:space="preserve">    </w:t>
            </w:r>
          </w:p>
        </w:tc>
      </w:tr>
      <w:tr w14:paraId="2894A741">
        <w:tblPrEx>
          <w:tblCellMar>
            <w:top w:w="0" w:type="dxa"/>
            <w:left w:w="108" w:type="dxa"/>
            <w:bottom w:w="0" w:type="dxa"/>
            <w:right w:w="108" w:type="dxa"/>
          </w:tblCellMar>
        </w:tblPrEx>
        <w:trPr>
          <w:trHeight w:val="867" w:hRule="atLeast"/>
          <w:jc w:val="center"/>
        </w:trPr>
        <w:tc>
          <w:tcPr>
            <w:tcW w:w="9801" w:type="dxa"/>
            <w:gridSpan w:val="7"/>
            <w:tcBorders>
              <w:top w:val="single" w:color="auto" w:sz="4" w:space="0"/>
              <w:left w:val="single" w:color="auto" w:sz="4" w:space="0"/>
              <w:bottom w:val="single" w:color="auto" w:sz="4" w:space="0"/>
              <w:right w:val="single" w:color="auto" w:sz="4" w:space="0"/>
            </w:tcBorders>
            <w:noWrap/>
            <w:vAlign w:val="center"/>
          </w:tcPr>
          <w:p w14:paraId="2B86D92D">
            <w:pPr>
              <w:widowControl/>
              <w:jc w:val="left"/>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val="en-US" w:eastAsia="zh-CN"/>
              </w:rPr>
              <w:t>注：</w:t>
            </w:r>
            <w:r>
              <w:rPr>
                <w:rFonts w:hint="eastAsia" w:ascii="宋体" w:hAnsi="宋体" w:cs="仿宋"/>
                <w:color w:val="000000"/>
                <w:sz w:val="24"/>
              </w:rPr>
              <w:t>以上价格为包干总价</w:t>
            </w:r>
            <w:r>
              <w:rPr>
                <w:rFonts w:hint="eastAsia" w:ascii="宋体" w:hAnsi="宋体" w:cs="仿宋"/>
                <w:color w:val="000000"/>
                <w:sz w:val="24"/>
                <w:lang w:eastAsia="zh-CN"/>
              </w:rPr>
              <w:t>，</w:t>
            </w:r>
            <w:r>
              <w:rPr>
                <w:rFonts w:hint="eastAsia" w:ascii="宋体" w:hAnsi="宋体" w:cs="仿宋"/>
                <w:color w:val="000000"/>
                <w:sz w:val="24"/>
                <w:lang w:val="en-US" w:eastAsia="zh-CN"/>
              </w:rPr>
              <w:t>含现有</w:t>
            </w:r>
            <w:r>
              <w:rPr>
                <w:rFonts w:hint="eastAsia" w:ascii="宋体" w:hAnsi="宋体" w:eastAsia="宋体" w:cs="宋体"/>
                <w:color w:val="000000"/>
                <w:kern w:val="0"/>
                <w:sz w:val="24"/>
                <w:szCs w:val="24"/>
                <w:lang w:val="en-US" w:eastAsia="zh-CN"/>
              </w:rPr>
              <w:t>计量终端空调移位及空调位置孔洞修复、设备新增、材料费、设备费、人工费等全部费用。</w:t>
            </w:r>
          </w:p>
        </w:tc>
      </w:tr>
    </w:tbl>
    <w:p w14:paraId="6FD6DF83">
      <w:pPr>
        <w:shd w:val="clear"/>
        <w:autoSpaceDE w:val="0"/>
        <w:autoSpaceDN w:val="0"/>
        <w:adjustRightInd w:val="0"/>
        <w:snapToGrid w:val="0"/>
        <w:spacing w:line="360" w:lineRule="auto"/>
        <w:rPr>
          <w:rFonts w:hint="eastAsia" w:cs="仿宋"/>
          <w:highlight w:val="none"/>
          <w:u w:val="single"/>
        </w:rPr>
      </w:pPr>
    </w:p>
    <w:p w14:paraId="5FED2350">
      <w:pPr>
        <w:pStyle w:val="45"/>
        <w:shd w:val="clear"/>
        <w:rPr>
          <w:rFonts w:hint="eastAsia"/>
          <w:highlight w:val="none"/>
        </w:rPr>
      </w:pPr>
    </w:p>
    <w:p w14:paraId="7D707920">
      <w:pPr>
        <w:shd w:val="clear"/>
        <w:autoSpaceDE w:val="0"/>
        <w:autoSpaceDN w:val="0"/>
        <w:adjustRightInd w:val="0"/>
        <w:snapToGrid w:val="0"/>
        <w:spacing w:line="360" w:lineRule="auto"/>
        <w:ind w:firstLine="4560" w:firstLineChars="1900"/>
        <w:rPr>
          <w:rFonts w:hint="eastAsia" w:cs="仿宋"/>
          <w:highlight w:val="none"/>
        </w:rPr>
      </w:pPr>
      <w:r>
        <w:rPr>
          <w:rFonts w:hint="eastAsia" w:cs="仿宋"/>
          <w:highlight w:val="none"/>
        </w:rPr>
        <w:t>投标人：（盖单位章）</w:t>
      </w:r>
    </w:p>
    <w:p w14:paraId="7CF1760A">
      <w:pPr>
        <w:shd w:val="clear"/>
        <w:spacing w:line="360" w:lineRule="auto"/>
        <w:ind w:firstLine="4560" w:firstLineChars="1900"/>
        <w:rPr>
          <w:rFonts w:hint="eastAsia" w:cs="仿宋"/>
          <w:highlight w:val="none"/>
        </w:rPr>
      </w:pPr>
      <w:r>
        <w:rPr>
          <w:rFonts w:hint="eastAsia" w:cs="仿宋"/>
          <w:highlight w:val="none"/>
        </w:rPr>
        <w:t>法定代表人或其委托代理人：（签字）</w:t>
      </w:r>
    </w:p>
    <w:p w14:paraId="2367B204">
      <w:pPr>
        <w:shd w:val="clear"/>
        <w:spacing w:line="360" w:lineRule="auto"/>
        <w:ind w:firstLine="6960" w:firstLineChars="2900"/>
        <w:rPr>
          <w:rFonts w:hint="eastAsia" w:cs="仿宋"/>
          <w:highlight w:val="none"/>
        </w:rPr>
      </w:pPr>
      <w:r>
        <w:rPr>
          <w:rFonts w:hint="eastAsia" w:cs="仿宋"/>
          <w:highlight w:val="none"/>
        </w:rPr>
        <w:t>年  月  日</w:t>
      </w:r>
    </w:p>
    <w:p w14:paraId="12CBB995">
      <w:pPr>
        <w:shd w:val="clear"/>
        <w:autoSpaceDE w:val="0"/>
        <w:autoSpaceDN w:val="0"/>
        <w:adjustRightInd w:val="0"/>
        <w:snapToGrid w:val="0"/>
        <w:spacing w:line="360" w:lineRule="auto"/>
        <w:rPr>
          <w:rFonts w:cs="仿宋"/>
          <w:highlight w:val="none"/>
        </w:rPr>
      </w:pPr>
    </w:p>
    <w:p w14:paraId="36412BDC">
      <w:pPr>
        <w:shd w:val="clear"/>
        <w:spacing w:line="360" w:lineRule="auto"/>
        <w:jc w:val="center"/>
        <w:rPr>
          <w:rFonts w:hint="eastAsia" w:cs="仿宋"/>
          <w:b/>
          <w:highlight w:val="none"/>
        </w:rPr>
      </w:pPr>
    </w:p>
    <w:p w14:paraId="4F765EF0">
      <w:pPr>
        <w:pStyle w:val="59"/>
        <w:shd w:val="clear"/>
        <w:rPr>
          <w:rFonts w:hint="eastAsia"/>
          <w:highlight w:val="none"/>
          <w:lang w:val="en-US" w:eastAsia="zh-CN"/>
        </w:rPr>
      </w:pPr>
      <w:bookmarkStart w:id="190" w:name="_Toc508871759"/>
      <w:bookmarkStart w:id="191" w:name="_Toc16334_WPSOffice_Level1"/>
      <w:bookmarkStart w:id="192" w:name="_Toc1630_WPSOffice_Level1"/>
      <w:bookmarkStart w:id="193" w:name="_Toc352160855"/>
      <w:bookmarkStart w:id="194" w:name="_Toc391556619"/>
      <w:bookmarkStart w:id="195" w:name="_Toc506105880"/>
      <w:r>
        <w:rPr>
          <w:rFonts w:hint="eastAsia"/>
          <w:highlight w:val="none"/>
        </w:rPr>
        <w:t>7、</w:t>
      </w:r>
      <w:r>
        <w:rPr>
          <w:rFonts w:hint="eastAsia"/>
          <w:highlight w:val="none"/>
          <w:lang w:val="en-US" w:eastAsia="zh-CN"/>
        </w:rPr>
        <w:t>技术方案</w:t>
      </w:r>
    </w:p>
    <w:p w14:paraId="19F90677">
      <w:pPr>
        <w:pStyle w:val="59"/>
        <w:shd w:val="clear"/>
        <w:rPr>
          <w:rFonts w:hint="default"/>
          <w:highlight w:val="none"/>
          <w:lang w:val="en-US" w:eastAsia="zh-CN"/>
        </w:rPr>
      </w:pPr>
    </w:p>
    <w:p w14:paraId="495A4D26">
      <w:pPr>
        <w:pStyle w:val="59"/>
        <w:shd w:val="clear"/>
        <w:rPr>
          <w:highlight w:val="none"/>
        </w:rPr>
      </w:pPr>
      <w:r>
        <w:rPr>
          <w:rFonts w:hint="eastAsia"/>
          <w:highlight w:val="none"/>
          <w:lang w:val="en-US" w:eastAsia="zh-CN"/>
        </w:rPr>
        <w:t>8、</w:t>
      </w:r>
      <w:r>
        <w:rPr>
          <w:rFonts w:hint="eastAsia"/>
          <w:highlight w:val="none"/>
        </w:rPr>
        <w:t>商务或技术偏差表</w:t>
      </w:r>
      <w:bookmarkEnd w:id="190"/>
      <w:bookmarkEnd w:id="191"/>
      <w:bookmarkEnd w:id="192"/>
    </w:p>
    <w:p w14:paraId="16CB04A8">
      <w:pPr>
        <w:shd w:val="clear"/>
        <w:spacing w:line="360" w:lineRule="auto"/>
        <w:jc w:val="center"/>
        <w:rPr>
          <w:rFonts w:cs="仿宋"/>
          <w:b/>
          <w:highlight w:val="none"/>
        </w:rPr>
      </w:pPr>
      <w:r>
        <w:rPr>
          <w:rFonts w:hint="eastAsia" w:cs="仿宋"/>
          <w:b/>
          <w:highlight w:val="none"/>
        </w:rPr>
        <w:t>商务或技术偏差表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71C5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C6121">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商务或技术偏差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6391BAE">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CF6D7C">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ACB2AC5">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招标文件规定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1714051">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9ED6CD4">
            <w:pPr>
              <w:shd w:val="clear"/>
              <w:overflowPunct w:val="0"/>
              <w:topLinePunct/>
              <w:spacing w:line="360" w:lineRule="auto"/>
              <w:ind w:right="14"/>
              <w:jc w:val="center"/>
              <w:rPr>
                <w:rFonts w:ascii="仿宋" w:hAnsi="仿宋" w:eastAsia="仿宋" w:cs="仿宋"/>
                <w:position w:val="-9"/>
                <w:highlight w:val="none"/>
              </w:rPr>
            </w:pPr>
            <w:r>
              <w:rPr>
                <w:rFonts w:hint="eastAsia" w:ascii="仿宋" w:hAnsi="仿宋" w:eastAsia="仿宋" w:cs="仿宋"/>
                <w:position w:val="-9"/>
                <w:highlight w:val="none"/>
              </w:rPr>
              <w:t>备注</w:t>
            </w:r>
          </w:p>
        </w:tc>
      </w:tr>
      <w:tr w14:paraId="4782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9C34F">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563E07D">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DCAFB0E">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703FFFF1">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A552D84">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E6FA8C7">
            <w:pPr>
              <w:shd w:val="clear"/>
              <w:overflowPunct w:val="0"/>
              <w:topLinePunct/>
              <w:spacing w:line="360" w:lineRule="auto"/>
              <w:ind w:right="14"/>
              <w:jc w:val="center"/>
              <w:rPr>
                <w:rFonts w:ascii="仿宋" w:hAnsi="仿宋" w:eastAsia="仿宋" w:cs="仿宋"/>
                <w:position w:val="-9"/>
                <w:highlight w:val="none"/>
              </w:rPr>
            </w:pPr>
          </w:p>
        </w:tc>
      </w:tr>
      <w:tr w14:paraId="5888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AC023">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73D45A7">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16C9A2">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C5BE5B0">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EE23FC0">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8BEF294">
            <w:pPr>
              <w:shd w:val="clear"/>
              <w:overflowPunct w:val="0"/>
              <w:topLinePunct/>
              <w:spacing w:line="360" w:lineRule="auto"/>
              <w:ind w:right="14"/>
              <w:jc w:val="center"/>
              <w:rPr>
                <w:rFonts w:ascii="仿宋" w:hAnsi="仿宋" w:eastAsia="仿宋" w:cs="仿宋"/>
                <w:position w:val="-9"/>
                <w:highlight w:val="none"/>
              </w:rPr>
            </w:pPr>
          </w:p>
        </w:tc>
      </w:tr>
      <w:tr w14:paraId="61ED9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007E0">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15AF42A">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C170FE">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6F06F25">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3CDAAB3">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C5F5810">
            <w:pPr>
              <w:shd w:val="clear"/>
              <w:overflowPunct w:val="0"/>
              <w:topLinePunct/>
              <w:spacing w:line="360" w:lineRule="auto"/>
              <w:ind w:right="14"/>
              <w:jc w:val="center"/>
              <w:rPr>
                <w:rFonts w:ascii="仿宋" w:hAnsi="仿宋" w:eastAsia="仿宋" w:cs="仿宋"/>
                <w:position w:val="-9"/>
                <w:highlight w:val="none"/>
              </w:rPr>
            </w:pPr>
          </w:p>
        </w:tc>
      </w:tr>
      <w:tr w14:paraId="0BB2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B87E7">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9611D42">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296FF7">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37FFC04">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50DA313">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4D9DDCB">
            <w:pPr>
              <w:shd w:val="clear"/>
              <w:overflowPunct w:val="0"/>
              <w:topLinePunct/>
              <w:spacing w:line="360" w:lineRule="auto"/>
              <w:ind w:right="14"/>
              <w:jc w:val="center"/>
              <w:rPr>
                <w:rFonts w:ascii="仿宋" w:hAnsi="仿宋" w:eastAsia="仿宋" w:cs="仿宋"/>
                <w:position w:val="-9"/>
                <w:highlight w:val="none"/>
              </w:rPr>
            </w:pPr>
          </w:p>
        </w:tc>
      </w:tr>
      <w:tr w14:paraId="47B9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FEB87">
            <w:pPr>
              <w:shd w:val="clear"/>
              <w:spacing w:line="360" w:lineRule="auto"/>
              <w:rPr>
                <w:rFonts w:ascii="仿宋" w:hAnsi="仿宋" w:eastAsia="仿宋" w:cs="仿宋"/>
                <w:position w:val="-9"/>
                <w:highlight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EE7C925">
            <w:pPr>
              <w:shd w:val="clear"/>
              <w:overflowPunct w:val="0"/>
              <w:topLinePunct/>
              <w:spacing w:line="360" w:lineRule="auto"/>
              <w:ind w:right="14"/>
              <w:jc w:val="center"/>
              <w:rPr>
                <w:rFonts w:ascii="仿宋" w:hAnsi="仿宋" w:eastAsia="仿宋" w:cs="仿宋"/>
                <w:position w:val="-9"/>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F752DF9">
            <w:pPr>
              <w:shd w:val="clear"/>
              <w:overflowPunct w:val="0"/>
              <w:topLinePunct/>
              <w:spacing w:line="360" w:lineRule="auto"/>
              <w:ind w:right="14"/>
              <w:jc w:val="center"/>
              <w:rPr>
                <w:rFonts w:ascii="仿宋" w:hAnsi="仿宋" w:eastAsia="仿宋" w:cs="仿宋"/>
                <w:position w:val="-9"/>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16C255B8">
            <w:pPr>
              <w:shd w:val="clear"/>
              <w:overflowPunct w:val="0"/>
              <w:topLinePunct/>
              <w:spacing w:line="360" w:lineRule="auto"/>
              <w:ind w:right="14"/>
              <w:jc w:val="center"/>
              <w:rPr>
                <w:rFonts w:ascii="仿宋" w:hAnsi="仿宋" w:eastAsia="仿宋" w:cs="仿宋"/>
                <w:position w:val="-9"/>
                <w:highlight w:val="none"/>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0BAAA1F">
            <w:pPr>
              <w:shd w:val="clear"/>
              <w:overflowPunct w:val="0"/>
              <w:topLinePunct/>
              <w:spacing w:line="360" w:lineRule="auto"/>
              <w:ind w:right="14"/>
              <w:jc w:val="center"/>
              <w:rPr>
                <w:rFonts w:ascii="仿宋" w:hAnsi="仿宋" w:eastAsia="仿宋" w:cs="仿宋"/>
                <w:position w:val="-9"/>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BCB04F4">
            <w:pPr>
              <w:shd w:val="clear"/>
              <w:overflowPunct w:val="0"/>
              <w:topLinePunct/>
              <w:spacing w:line="360" w:lineRule="auto"/>
              <w:ind w:right="14"/>
              <w:jc w:val="center"/>
              <w:rPr>
                <w:rFonts w:ascii="仿宋" w:hAnsi="仿宋" w:eastAsia="仿宋" w:cs="仿宋"/>
                <w:position w:val="-9"/>
                <w:highlight w:val="none"/>
              </w:rPr>
            </w:pPr>
          </w:p>
        </w:tc>
      </w:tr>
    </w:tbl>
    <w:p w14:paraId="02F84A1C">
      <w:pPr>
        <w:shd w:val="clear"/>
        <w:spacing w:line="360" w:lineRule="auto"/>
        <w:ind w:firstLine="160" w:firstLineChars="67"/>
        <w:rPr>
          <w:rFonts w:ascii="仿宋" w:hAnsi="仿宋" w:eastAsia="仿宋" w:cs="仿宋"/>
          <w:highlight w:val="none"/>
        </w:rPr>
      </w:pPr>
      <w:r>
        <w:rPr>
          <w:rFonts w:hint="eastAsia" w:cs="仿宋"/>
          <w:highlight w:val="none"/>
        </w:rPr>
        <w:t>注：若无商务或技术偏差，本表可不填。</w:t>
      </w:r>
    </w:p>
    <w:p w14:paraId="4B569DBF">
      <w:pPr>
        <w:shd w:val="clear"/>
        <w:spacing w:line="360" w:lineRule="auto"/>
        <w:ind w:firstLine="4560" w:firstLineChars="1900"/>
        <w:rPr>
          <w:rFonts w:hint="eastAsia" w:cs="仿宋"/>
          <w:highlight w:val="none"/>
        </w:rPr>
      </w:pPr>
      <w:r>
        <w:rPr>
          <w:rFonts w:hint="eastAsia" w:cs="仿宋"/>
          <w:highlight w:val="none"/>
        </w:rPr>
        <w:t>投标人：（盖单位章）</w:t>
      </w:r>
    </w:p>
    <w:p w14:paraId="2CC68F57">
      <w:pPr>
        <w:shd w:val="clear"/>
        <w:spacing w:line="360" w:lineRule="auto"/>
        <w:ind w:firstLine="4560" w:firstLineChars="1900"/>
        <w:rPr>
          <w:rFonts w:hint="eastAsia" w:cs="仿宋"/>
          <w:highlight w:val="none"/>
        </w:rPr>
      </w:pPr>
      <w:r>
        <w:rPr>
          <w:rFonts w:hint="eastAsia" w:cs="仿宋"/>
          <w:highlight w:val="none"/>
        </w:rPr>
        <w:t>法定代表人或其委托代理人：（签字）</w:t>
      </w:r>
    </w:p>
    <w:p w14:paraId="628D817C">
      <w:pPr>
        <w:shd w:val="clear"/>
        <w:spacing w:line="360" w:lineRule="auto"/>
        <w:ind w:firstLine="4560" w:firstLineChars="1900"/>
        <w:rPr>
          <w:rFonts w:hint="eastAsia" w:cs="仿宋"/>
          <w:highlight w:val="none"/>
        </w:rPr>
      </w:pPr>
      <w:r>
        <w:rPr>
          <w:rFonts w:hint="eastAsia" w:cs="仿宋"/>
          <w:highlight w:val="none"/>
        </w:rPr>
        <w:t>年</w:t>
      </w:r>
      <w:r>
        <w:rPr>
          <w:rFonts w:hint="eastAsia" w:cs="仿宋"/>
          <w:highlight w:val="none"/>
          <w:lang w:val="en-US" w:eastAsia="zh-CN"/>
        </w:rPr>
        <w:t xml:space="preserve">   </w:t>
      </w:r>
      <w:r>
        <w:rPr>
          <w:rFonts w:hint="eastAsia" w:cs="仿宋"/>
          <w:highlight w:val="none"/>
        </w:rPr>
        <w:t>月</w:t>
      </w:r>
      <w:r>
        <w:rPr>
          <w:rFonts w:hint="eastAsia" w:cs="仿宋"/>
          <w:highlight w:val="none"/>
          <w:lang w:val="en-US" w:eastAsia="zh-CN"/>
        </w:rPr>
        <w:t xml:space="preserve">   </w:t>
      </w:r>
      <w:r>
        <w:rPr>
          <w:rFonts w:hint="eastAsia" w:cs="仿宋"/>
          <w:highlight w:val="none"/>
        </w:rPr>
        <w:t>日</w:t>
      </w:r>
    </w:p>
    <w:p w14:paraId="67FD48F9">
      <w:pPr>
        <w:shd w:val="clear"/>
        <w:spacing w:line="360" w:lineRule="auto"/>
        <w:ind w:firstLine="6960" w:firstLineChars="2900"/>
        <w:rPr>
          <w:rFonts w:ascii="仿宋" w:hAnsi="仿宋" w:eastAsia="仿宋" w:cs="仿宋"/>
          <w:highlight w:val="none"/>
        </w:rPr>
      </w:pPr>
    </w:p>
    <w:p w14:paraId="08499B90">
      <w:pPr>
        <w:pStyle w:val="59"/>
        <w:shd w:val="clear"/>
        <w:jc w:val="center"/>
        <w:rPr>
          <w:highlight w:val="none"/>
        </w:rPr>
      </w:pPr>
    </w:p>
    <w:p w14:paraId="1E4AB1DE">
      <w:pPr>
        <w:pStyle w:val="59"/>
        <w:shd w:val="clear"/>
        <w:jc w:val="center"/>
        <w:rPr>
          <w:rFonts w:hint="eastAsia"/>
          <w:highlight w:val="none"/>
        </w:rPr>
      </w:pPr>
      <w:bookmarkStart w:id="196" w:name="_Toc508871760"/>
    </w:p>
    <w:p w14:paraId="66338F02">
      <w:pPr>
        <w:pStyle w:val="59"/>
        <w:shd w:val="clear"/>
        <w:rPr>
          <w:rFonts w:hint="eastAsia"/>
          <w:highlight w:val="none"/>
        </w:rPr>
      </w:pPr>
      <w:bookmarkStart w:id="197" w:name="_Toc27227_WPSOffice_Level1"/>
      <w:bookmarkStart w:id="198" w:name="_Toc31960_WPSOffice_Level1"/>
      <w:r>
        <w:rPr>
          <w:rFonts w:hint="eastAsia"/>
          <w:highlight w:val="none"/>
          <w:lang w:val="en-US" w:eastAsia="zh-CN"/>
        </w:rPr>
        <w:t>9</w:t>
      </w:r>
      <w:r>
        <w:rPr>
          <w:rFonts w:hint="eastAsia"/>
          <w:highlight w:val="none"/>
        </w:rPr>
        <w:t>、投标人认为应补充的其他资料</w:t>
      </w:r>
      <w:bookmarkEnd w:id="193"/>
      <w:bookmarkEnd w:id="194"/>
      <w:bookmarkEnd w:id="195"/>
      <w:bookmarkEnd w:id="196"/>
      <w:bookmarkEnd w:id="197"/>
      <w:bookmarkEnd w:id="198"/>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0BB042-9EFE-4104-BCA1-8FA5C589B6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5D10DF4-640E-4FA3-B5EF-2E5DA47A2FFA}"/>
  </w:font>
  <w:font w:name="Cambria">
    <w:panose1 w:val="02040503050406030204"/>
    <w:charset w:val="00"/>
    <w:family w:val="roman"/>
    <w:pitch w:val="default"/>
    <w:sig w:usb0="E00002FF" w:usb1="400004FF" w:usb2="00000000" w:usb3="00000000" w:csb0="2000019F" w:csb1="00000000"/>
    <w:embedRegular r:id="rId3" w:fontKey="{54640DF2-DEB4-41F3-8EA4-686A81C45D88}"/>
  </w:font>
  <w:font w:name="仿宋_GB2312">
    <w:panose1 w:val="02010609030101010101"/>
    <w:charset w:val="86"/>
    <w:family w:val="modern"/>
    <w:pitch w:val="default"/>
    <w:sig w:usb0="00000001" w:usb1="080E0000" w:usb2="00000000" w:usb3="00000000" w:csb0="00040000" w:csb1="00000000"/>
    <w:embedRegular r:id="rId4" w:fontKey="{FBC52A93-C3B8-4800-A0D0-947FFFFFC4F6}"/>
  </w:font>
  <w:font w:name="Arial Unicode MS">
    <w:panose1 w:val="020B0604020202020204"/>
    <w:charset w:val="86"/>
    <w:family w:val="swiss"/>
    <w:pitch w:val="default"/>
    <w:sig w:usb0="FFFFFFFF" w:usb1="E9FFFFFF" w:usb2="0000003F" w:usb3="00000000" w:csb0="603F01FF" w:csb1="FFFF0000"/>
    <w:embedRegular r:id="rId5" w:fontKey="{6CE1489C-96AE-4EA6-9ACC-246CAFA07658}"/>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6" w:fontKey="{1E0F7471-8D3A-4ACC-B65E-6CE71D8ACCC7}"/>
  </w:font>
  <w:font w:name="仿宋">
    <w:panose1 w:val="02010609060101010101"/>
    <w:charset w:val="86"/>
    <w:family w:val="modern"/>
    <w:pitch w:val="default"/>
    <w:sig w:usb0="800002BF" w:usb1="38CF7CFA" w:usb2="00000016" w:usb3="00000000" w:csb0="00040001" w:csb1="00000000"/>
    <w:embedRegular r:id="rId7" w:fontKey="{5F8B3D33-B9BE-4D86-B785-454AD1A4ADAA}"/>
  </w:font>
  <w:font w:name="MingLiU">
    <w:panose1 w:val="02020509000000000000"/>
    <w:charset w:val="88"/>
    <w:family w:val="modern"/>
    <w:pitch w:val="default"/>
    <w:sig w:usb0="A00002FF" w:usb1="28CFFCFA" w:usb2="00000016" w:usb3="00000000" w:csb0="00100001" w:csb1="00000000"/>
    <w:embedRegular r:id="rId8" w:fontKey="{2B0D2C52-78D3-4944-8209-B50E9C661DA0}"/>
  </w:font>
  <w:font w:name="楷体_GB2312">
    <w:panose1 w:val="02010609030101010101"/>
    <w:charset w:val="86"/>
    <w:family w:val="auto"/>
    <w:pitch w:val="default"/>
    <w:sig w:usb0="00000001" w:usb1="080E0000" w:usb2="00000000" w:usb3="00000000" w:csb0="00040000" w:csb1="00000000"/>
    <w:embedRegular r:id="rId9" w:fontKey="{484F2DBA-6423-4A7E-98BC-EDC37ABD1185}"/>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3">
    <w:panose1 w:val="02010609030101010101"/>
    <w:charset w:val="86"/>
    <w:family w:val="auto"/>
    <w:pitch w:val="default"/>
    <w:sig w:usb0="00000001" w:usb1="080E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B1CE">
    <w:pPr>
      <w:pStyle w:val="29"/>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25263">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C25263">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0CD8">
    <w:pPr>
      <w:pStyle w:val="29"/>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436C8">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A3436C8">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C4C3">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25</w:t>
    </w:r>
    <w:r>
      <w:fldChar w:fldCharType="end"/>
    </w:r>
  </w:p>
  <w:p w14:paraId="329C4FAD">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5D4E">
    <w:pPr>
      <w:pStyle w:val="29"/>
      <w:framePr w:wrap="around" w:vAnchor="text" w:hAnchor="margin" w:xAlign="center" w:y="1"/>
      <w:rPr>
        <w:rStyle w:val="50"/>
      </w:rPr>
    </w:pPr>
    <w:r>
      <w:fldChar w:fldCharType="begin"/>
    </w:r>
    <w:r>
      <w:rPr>
        <w:rStyle w:val="50"/>
      </w:rPr>
      <w:instrText xml:space="preserve">PAGE  </w:instrText>
    </w:r>
    <w:r>
      <w:fldChar w:fldCharType="end"/>
    </w:r>
  </w:p>
  <w:p w14:paraId="7236560D">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82E0">
    <w:pPr>
      <w:rPr>
        <w:sz w:val="2"/>
        <w:szCs w:val="2"/>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D51D5">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4D51D5">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9673590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a:effectLst/>
                    </wps:spPr>
                    <wps:txbx>
                      <w:txbxContent>
                        <w:p w14:paraId="462FBFD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00.25pt;margin-top:761.7pt;height:12.2pt;width:9.05pt;mso-position-horizontal-relative:page;mso-position-vertical-relative:page;mso-wrap-style:none;z-index:-251657216;mso-width-relative:page;mso-height-relative:page;" filled="f" stroked="f" coordsize="21600,21600" o:gfxdata="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tlEfYAAAADQEAAA8AAAAAAAAAAQAg&#10;AAAAIgAAAGRycy9kb3ducmV2LnhtbFBLAQIUABQAAAAIAIdO4kBScHXYDgIAABAEAAAOAAAAAAAA&#10;AAEAIAAAACcBAABkcnMvZTJvRG9jLnhtbFBLBQYAAAAABgAGAFkBAACnBQAAAAA=&#10;">
              <v:fill on="f" focussize="0,0"/>
              <v:stroke on="f"/>
              <v:imagedata o:title=""/>
              <o:lock v:ext="edit" aspectratio="f"/>
              <v:textbox inset="0mm,0mm,0mm,0mm" style="mso-fit-shape-to-text:t;">
                <w:txbxContent>
                  <w:p w14:paraId="462FBFD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9FD1">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07FEB"/>
    <w:multiLevelType w:val="singleLevel"/>
    <w:tmpl w:val="C1507FEB"/>
    <w:lvl w:ilvl="0" w:tentative="0">
      <w:start w:val="6"/>
      <w:numFmt w:val="decimal"/>
      <w:lvlText w:val="%1."/>
      <w:lvlJc w:val="left"/>
      <w:pPr>
        <w:tabs>
          <w:tab w:val="left" w:pos="312"/>
        </w:tabs>
      </w:pPr>
    </w:lvl>
  </w:abstractNum>
  <w:abstractNum w:abstractNumId="1">
    <w:nsid w:val="C1C86BB4"/>
    <w:multiLevelType w:val="singleLevel"/>
    <w:tmpl w:val="C1C86BB4"/>
    <w:lvl w:ilvl="0" w:tentative="0">
      <w:start w:val="2"/>
      <w:numFmt w:val="decimal"/>
      <w:suff w:val="nothing"/>
      <w:lvlText w:val="%1、"/>
      <w:lvlJc w:val="left"/>
    </w:lvl>
  </w:abstractNum>
  <w:abstractNum w:abstractNumId="2">
    <w:nsid w:val="0000000E"/>
    <w:multiLevelType w:val="multilevel"/>
    <w:tmpl w:val="0000000E"/>
    <w:lvl w:ilvl="0" w:tentative="0">
      <w:start w:val="1"/>
      <w:numFmt w:val="decimal"/>
      <w:pStyle w:val="68"/>
      <w:lvlText w:val="（%1）"/>
      <w:lvlJc w:val="left"/>
      <w:pPr>
        <w:tabs>
          <w:tab w:val="left" w:pos="1200"/>
        </w:tabs>
        <w:ind w:left="1200" w:hanging="7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MjkzYWNlZTUyOWJkNzc0NWJhZjZjMGI2ODk4NTQifQ=="/>
  </w:docVars>
  <w:rsids>
    <w:rsidRoot w:val="00172A27"/>
    <w:rsid w:val="000005B4"/>
    <w:rsid w:val="00000B07"/>
    <w:rsid w:val="00000E24"/>
    <w:rsid w:val="000010DF"/>
    <w:rsid w:val="000014B1"/>
    <w:rsid w:val="00001C2B"/>
    <w:rsid w:val="00001D8C"/>
    <w:rsid w:val="00001E66"/>
    <w:rsid w:val="00002256"/>
    <w:rsid w:val="000024DC"/>
    <w:rsid w:val="00002E3C"/>
    <w:rsid w:val="00003011"/>
    <w:rsid w:val="000031D6"/>
    <w:rsid w:val="00003666"/>
    <w:rsid w:val="0000484B"/>
    <w:rsid w:val="000051FA"/>
    <w:rsid w:val="00005213"/>
    <w:rsid w:val="00005803"/>
    <w:rsid w:val="00005A71"/>
    <w:rsid w:val="00005FC3"/>
    <w:rsid w:val="00006271"/>
    <w:rsid w:val="00006372"/>
    <w:rsid w:val="00006892"/>
    <w:rsid w:val="00006945"/>
    <w:rsid w:val="00006966"/>
    <w:rsid w:val="00006B71"/>
    <w:rsid w:val="00006D24"/>
    <w:rsid w:val="000072D9"/>
    <w:rsid w:val="000073CB"/>
    <w:rsid w:val="000073D1"/>
    <w:rsid w:val="00007405"/>
    <w:rsid w:val="000101F6"/>
    <w:rsid w:val="00010A4A"/>
    <w:rsid w:val="00010A4D"/>
    <w:rsid w:val="00010AD0"/>
    <w:rsid w:val="00010EDF"/>
    <w:rsid w:val="00011002"/>
    <w:rsid w:val="00011034"/>
    <w:rsid w:val="0001111F"/>
    <w:rsid w:val="000119AF"/>
    <w:rsid w:val="00011BE9"/>
    <w:rsid w:val="00011D0F"/>
    <w:rsid w:val="00011F0A"/>
    <w:rsid w:val="000124CC"/>
    <w:rsid w:val="0001256A"/>
    <w:rsid w:val="0001262C"/>
    <w:rsid w:val="000129F7"/>
    <w:rsid w:val="00013001"/>
    <w:rsid w:val="00013B10"/>
    <w:rsid w:val="00013F9F"/>
    <w:rsid w:val="00014073"/>
    <w:rsid w:val="00014717"/>
    <w:rsid w:val="00014DFC"/>
    <w:rsid w:val="00014E31"/>
    <w:rsid w:val="00014F89"/>
    <w:rsid w:val="000151C5"/>
    <w:rsid w:val="00015261"/>
    <w:rsid w:val="00015339"/>
    <w:rsid w:val="000156FA"/>
    <w:rsid w:val="00016615"/>
    <w:rsid w:val="000169BE"/>
    <w:rsid w:val="00016C2E"/>
    <w:rsid w:val="00016C4E"/>
    <w:rsid w:val="0001748F"/>
    <w:rsid w:val="000175FA"/>
    <w:rsid w:val="0001776E"/>
    <w:rsid w:val="00017B32"/>
    <w:rsid w:val="00020002"/>
    <w:rsid w:val="0002010A"/>
    <w:rsid w:val="000201A4"/>
    <w:rsid w:val="000209E9"/>
    <w:rsid w:val="00020DBF"/>
    <w:rsid w:val="000211EE"/>
    <w:rsid w:val="00021419"/>
    <w:rsid w:val="00021B05"/>
    <w:rsid w:val="00021BC9"/>
    <w:rsid w:val="00021DF2"/>
    <w:rsid w:val="0002202B"/>
    <w:rsid w:val="00022932"/>
    <w:rsid w:val="00022B1F"/>
    <w:rsid w:val="00022DE5"/>
    <w:rsid w:val="00022EB3"/>
    <w:rsid w:val="00022F46"/>
    <w:rsid w:val="0002305E"/>
    <w:rsid w:val="000230C1"/>
    <w:rsid w:val="000236BD"/>
    <w:rsid w:val="00023805"/>
    <w:rsid w:val="000239BC"/>
    <w:rsid w:val="00023B44"/>
    <w:rsid w:val="00023F4A"/>
    <w:rsid w:val="000245CE"/>
    <w:rsid w:val="00024793"/>
    <w:rsid w:val="00024F92"/>
    <w:rsid w:val="000253BA"/>
    <w:rsid w:val="00025B4E"/>
    <w:rsid w:val="00025F21"/>
    <w:rsid w:val="00025F90"/>
    <w:rsid w:val="000260D0"/>
    <w:rsid w:val="00026533"/>
    <w:rsid w:val="00026F5F"/>
    <w:rsid w:val="00027362"/>
    <w:rsid w:val="000274FA"/>
    <w:rsid w:val="0002763D"/>
    <w:rsid w:val="000276E8"/>
    <w:rsid w:val="000276FC"/>
    <w:rsid w:val="00027ABD"/>
    <w:rsid w:val="00027DCE"/>
    <w:rsid w:val="000300CF"/>
    <w:rsid w:val="00030F35"/>
    <w:rsid w:val="000318B3"/>
    <w:rsid w:val="00031D68"/>
    <w:rsid w:val="00032074"/>
    <w:rsid w:val="000324A6"/>
    <w:rsid w:val="000324AA"/>
    <w:rsid w:val="00032E07"/>
    <w:rsid w:val="00033272"/>
    <w:rsid w:val="00033311"/>
    <w:rsid w:val="0003338B"/>
    <w:rsid w:val="00033BDB"/>
    <w:rsid w:val="00033C6E"/>
    <w:rsid w:val="0003492D"/>
    <w:rsid w:val="00034A63"/>
    <w:rsid w:val="00034DEE"/>
    <w:rsid w:val="00034FFC"/>
    <w:rsid w:val="000353DA"/>
    <w:rsid w:val="00035C79"/>
    <w:rsid w:val="00035C9A"/>
    <w:rsid w:val="00035E61"/>
    <w:rsid w:val="00036284"/>
    <w:rsid w:val="0003636D"/>
    <w:rsid w:val="00036D78"/>
    <w:rsid w:val="00037101"/>
    <w:rsid w:val="00037517"/>
    <w:rsid w:val="00037943"/>
    <w:rsid w:val="00037EEC"/>
    <w:rsid w:val="00040399"/>
    <w:rsid w:val="000409A2"/>
    <w:rsid w:val="00040EFC"/>
    <w:rsid w:val="00041534"/>
    <w:rsid w:val="00041906"/>
    <w:rsid w:val="00041AA5"/>
    <w:rsid w:val="00041EC7"/>
    <w:rsid w:val="000421BC"/>
    <w:rsid w:val="0004256B"/>
    <w:rsid w:val="000426FA"/>
    <w:rsid w:val="0004298A"/>
    <w:rsid w:val="00042A76"/>
    <w:rsid w:val="0004304B"/>
    <w:rsid w:val="00043229"/>
    <w:rsid w:val="00043394"/>
    <w:rsid w:val="00043424"/>
    <w:rsid w:val="0004381E"/>
    <w:rsid w:val="00043A30"/>
    <w:rsid w:val="00043BDE"/>
    <w:rsid w:val="00043C75"/>
    <w:rsid w:val="00043F14"/>
    <w:rsid w:val="000444A8"/>
    <w:rsid w:val="00044689"/>
    <w:rsid w:val="000462DC"/>
    <w:rsid w:val="0004667B"/>
    <w:rsid w:val="00047032"/>
    <w:rsid w:val="0005080F"/>
    <w:rsid w:val="00050C85"/>
    <w:rsid w:val="0005130E"/>
    <w:rsid w:val="000514BD"/>
    <w:rsid w:val="00051C2F"/>
    <w:rsid w:val="00051E12"/>
    <w:rsid w:val="00051E9A"/>
    <w:rsid w:val="000521A6"/>
    <w:rsid w:val="000525A2"/>
    <w:rsid w:val="00052C17"/>
    <w:rsid w:val="00052D23"/>
    <w:rsid w:val="00052D74"/>
    <w:rsid w:val="00052E51"/>
    <w:rsid w:val="00052F08"/>
    <w:rsid w:val="00053732"/>
    <w:rsid w:val="00053929"/>
    <w:rsid w:val="00053C48"/>
    <w:rsid w:val="00053D7C"/>
    <w:rsid w:val="00053FBC"/>
    <w:rsid w:val="00054583"/>
    <w:rsid w:val="000547CE"/>
    <w:rsid w:val="00054842"/>
    <w:rsid w:val="00054C75"/>
    <w:rsid w:val="00054DB3"/>
    <w:rsid w:val="0005555E"/>
    <w:rsid w:val="000562FE"/>
    <w:rsid w:val="0005634E"/>
    <w:rsid w:val="000573D9"/>
    <w:rsid w:val="00057665"/>
    <w:rsid w:val="00057BB7"/>
    <w:rsid w:val="0006062A"/>
    <w:rsid w:val="00060A40"/>
    <w:rsid w:val="00060A6D"/>
    <w:rsid w:val="00060CC6"/>
    <w:rsid w:val="000613F2"/>
    <w:rsid w:val="000615FB"/>
    <w:rsid w:val="00061E0C"/>
    <w:rsid w:val="000620CB"/>
    <w:rsid w:val="000631EA"/>
    <w:rsid w:val="0006350A"/>
    <w:rsid w:val="000637A3"/>
    <w:rsid w:val="00063ED9"/>
    <w:rsid w:val="00064071"/>
    <w:rsid w:val="000645F0"/>
    <w:rsid w:val="0006460A"/>
    <w:rsid w:val="00064ABE"/>
    <w:rsid w:val="00064C17"/>
    <w:rsid w:val="00064C96"/>
    <w:rsid w:val="00064CBA"/>
    <w:rsid w:val="00065387"/>
    <w:rsid w:val="00065623"/>
    <w:rsid w:val="00065720"/>
    <w:rsid w:val="000659B8"/>
    <w:rsid w:val="00065A50"/>
    <w:rsid w:val="00065C47"/>
    <w:rsid w:val="00066077"/>
    <w:rsid w:val="00066222"/>
    <w:rsid w:val="00066368"/>
    <w:rsid w:val="000664F0"/>
    <w:rsid w:val="00067088"/>
    <w:rsid w:val="000672B7"/>
    <w:rsid w:val="000679AF"/>
    <w:rsid w:val="0007029A"/>
    <w:rsid w:val="000703F0"/>
    <w:rsid w:val="000707EC"/>
    <w:rsid w:val="00070B46"/>
    <w:rsid w:val="00070C0E"/>
    <w:rsid w:val="00071720"/>
    <w:rsid w:val="00071C07"/>
    <w:rsid w:val="00071E56"/>
    <w:rsid w:val="00071EFD"/>
    <w:rsid w:val="000721AC"/>
    <w:rsid w:val="000723E7"/>
    <w:rsid w:val="0007243E"/>
    <w:rsid w:val="0007252B"/>
    <w:rsid w:val="00072F21"/>
    <w:rsid w:val="000740A0"/>
    <w:rsid w:val="00074319"/>
    <w:rsid w:val="0007515A"/>
    <w:rsid w:val="0007569B"/>
    <w:rsid w:val="00075E72"/>
    <w:rsid w:val="00076696"/>
    <w:rsid w:val="00076784"/>
    <w:rsid w:val="00076A01"/>
    <w:rsid w:val="0007712C"/>
    <w:rsid w:val="00077199"/>
    <w:rsid w:val="00077219"/>
    <w:rsid w:val="00077707"/>
    <w:rsid w:val="00077B3C"/>
    <w:rsid w:val="00077DE9"/>
    <w:rsid w:val="00077F52"/>
    <w:rsid w:val="00080A0F"/>
    <w:rsid w:val="00080C1F"/>
    <w:rsid w:val="00080DF8"/>
    <w:rsid w:val="000811DE"/>
    <w:rsid w:val="000814AE"/>
    <w:rsid w:val="000819D7"/>
    <w:rsid w:val="00081BCB"/>
    <w:rsid w:val="00082122"/>
    <w:rsid w:val="00082397"/>
    <w:rsid w:val="000834C0"/>
    <w:rsid w:val="000834C8"/>
    <w:rsid w:val="000838D8"/>
    <w:rsid w:val="00083B20"/>
    <w:rsid w:val="00083E3B"/>
    <w:rsid w:val="000841E8"/>
    <w:rsid w:val="00084696"/>
    <w:rsid w:val="00084B4A"/>
    <w:rsid w:val="00084B75"/>
    <w:rsid w:val="00084BB8"/>
    <w:rsid w:val="00084F26"/>
    <w:rsid w:val="00085201"/>
    <w:rsid w:val="00085C66"/>
    <w:rsid w:val="00085D47"/>
    <w:rsid w:val="000864C0"/>
    <w:rsid w:val="0008686F"/>
    <w:rsid w:val="00086E57"/>
    <w:rsid w:val="00087001"/>
    <w:rsid w:val="00087057"/>
    <w:rsid w:val="0008760A"/>
    <w:rsid w:val="000877D4"/>
    <w:rsid w:val="0008782C"/>
    <w:rsid w:val="00087A10"/>
    <w:rsid w:val="00087E6C"/>
    <w:rsid w:val="00087E81"/>
    <w:rsid w:val="00090628"/>
    <w:rsid w:val="00090A40"/>
    <w:rsid w:val="000914C3"/>
    <w:rsid w:val="00091880"/>
    <w:rsid w:val="00091925"/>
    <w:rsid w:val="00091AA0"/>
    <w:rsid w:val="00092168"/>
    <w:rsid w:val="0009277E"/>
    <w:rsid w:val="0009301A"/>
    <w:rsid w:val="0009326F"/>
    <w:rsid w:val="00093436"/>
    <w:rsid w:val="00093B80"/>
    <w:rsid w:val="00094023"/>
    <w:rsid w:val="0009438B"/>
    <w:rsid w:val="000945CB"/>
    <w:rsid w:val="00094646"/>
    <w:rsid w:val="0009475E"/>
    <w:rsid w:val="00094AD9"/>
    <w:rsid w:val="00094B44"/>
    <w:rsid w:val="00094B60"/>
    <w:rsid w:val="00095147"/>
    <w:rsid w:val="00095A42"/>
    <w:rsid w:val="00095BB3"/>
    <w:rsid w:val="00095D9E"/>
    <w:rsid w:val="00095E23"/>
    <w:rsid w:val="000960A9"/>
    <w:rsid w:val="00096353"/>
    <w:rsid w:val="00096E8D"/>
    <w:rsid w:val="00097A77"/>
    <w:rsid w:val="000A06F4"/>
    <w:rsid w:val="000A06F5"/>
    <w:rsid w:val="000A0911"/>
    <w:rsid w:val="000A1081"/>
    <w:rsid w:val="000A1F8C"/>
    <w:rsid w:val="000A20A7"/>
    <w:rsid w:val="000A261D"/>
    <w:rsid w:val="000A2869"/>
    <w:rsid w:val="000A29ED"/>
    <w:rsid w:val="000A2A5D"/>
    <w:rsid w:val="000A2E62"/>
    <w:rsid w:val="000A326B"/>
    <w:rsid w:val="000A3734"/>
    <w:rsid w:val="000A3AB5"/>
    <w:rsid w:val="000A3D0F"/>
    <w:rsid w:val="000A46D4"/>
    <w:rsid w:val="000A4DC6"/>
    <w:rsid w:val="000A4F3F"/>
    <w:rsid w:val="000A4F88"/>
    <w:rsid w:val="000A506A"/>
    <w:rsid w:val="000A50F5"/>
    <w:rsid w:val="000A5370"/>
    <w:rsid w:val="000A53B9"/>
    <w:rsid w:val="000A5AC8"/>
    <w:rsid w:val="000A5AF9"/>
    <w:rsid w:val="000A5BAB"/>
    <w:rsid w:val="000A6117"/>
    <w:rsid w:val="000A6201"/>
    <w:rsid w:val="000A6844"/>
    <w:rsid w:val="000A6A9C"/>
    <w:rsid w:val="000A6D77"/>
    <w:rsid w:val="000A726F"/>
    <w:rsid w:val="000A73A2"/>
    <w:rsid w:val="000A7604"/>
    <w:rsid w:val="000A7813"/>
    <w:rsid w:val="000A7974"/>
    <w:rsid w:val="000A79CA"/>
    <w:rsid w:val="000A7EA0"/>
    <w:rsid w:val="000B037C"/>
    <w:rsid w:val="000B050B"/>
    <w:rsid w:val="000B0946"/>
    <w:rsid w:val="000B1546"/>
    <w:rsid w:val="000B1701"/>
    <w:rsid w:val="000B1F4F"/>
    <w:rsid w:val="000B21E4"/>
    <w:rsid w:val="000B227F"/>
    <w:rsid w:val="000B22C3"/>
    <w:rsid w:val="000B2468"/>
    <w:rsid w:val="000B268C"/>
    <w:rsid w:val="000B2B89"/>
    <w:rsid w:val="000B2B8D"/>
    <w:rsid w:val="000B2D19"/>
    <w:rsid w:val="000B3B9F"/>
    <w:rsid w:val="000B3C03"/>
    <w:rsid w:val="000B404E"/>
    <w:rsid w:val="000B4988"/>
    <w:rsid w:val="000B4C24"/>
    <w:rsid w:val="000B4ED7"/>
    <w:rsid w:val="000B5116"/>
    <w:rsid w:val="000B5577"/>
    <w:rsid w:val="000B65DE"/>
    <w:rsid w:val="000B683E"/>
    <w:rsid w:val="000B70FA"/>
    <w:rsid w:val="000B755C"/>
    <w:rsid w:val="000B7914"/>
    <w:rsid w:val="000B7B75"/>
    <w:rsid w:val="000B7E2A"/>
    <w:rsid w:val="000C024B"/>
    <w:rsid w:val="000C04D0"/>
    <w:rsid w:val="000C0578"/>
    <w:rsid w:val="000C0832"/>
    <w:rsid w:val="000C08D7"/>
    <w:rsid w:val="000C0C99"/>
    <w:rsid w:val="000C1291"/>
    <w:rsid w:val="000C14EB"/>
    <w:rsid w:val="000C3081"/>
    <w:rsid w:val="000C30DB"/>
    <w:rsid w:val="000C3492"/>
    <w:rsid w:val="000C36A7"/>
    <w:rsid w:val="000C36D1"/>
    <w:rsid w:val="000C3781"/>
    <w:rsid w:val="000C4265"/>
    <w:rsid w:val="000C4B0D"/>
    <w:rsid w:val="000C4C1A"/>
    <w:rsid w:val="000C4F67"/>
    <w:rsid w:val="000C514B"/>
    <w:rsid w:val="000C52AD"/>
    <w:rsid w:val="000C56B0"/>
    <w:rsid w:val="000C5E39"/>
    <w:rsid w:val="000C6219"/>
    <w:rsid w:val="000C6470"/>
    <w:rsid w:val="000C6492"/>
    <w:rsid w:val="000C7488"/>
    <w:rsid w:val="000C7805"/>
    <w:rsid w:val="000C78F9"/>
    <w:rsid w:val="000C79F7"/>
    <w:rsid w:val="000C7EDB"/>
    <w:rsid w:val="000C7F13"/>
    <w:rsid w:val="000D01DF"/>
    <w:rsid w:val="000D02E8"/>
    <w:rsid w:val="000D0A1B"/>
    <w:rsid w:val="000D14F6"/>
    <w:rsid w:val="000D1A7E"/>
    <w:rsid w:val="000D1CE2"/>
    <w:rsid w:val="000D1E32"/>
    <w:rsid w:val="000D1EF0"/>
    <w:rsid w:val="000D2266"/>
    <w:rsid w:val="000D2272"/>
    <w:rsid w:val="000D26C3"/>
    <w:rsid w:val="000D289B"/>
    <w:rsid w:val="000D2A49"/>
    <w:rsid w:val="000D2A73"/>
    <w:rsid w:val="000D38FA"/>
    <w:rsid w:val="000D3A96"/>
    <w:rsid w:val="000D3B1B"/>
    <w:rsid w:val="000D41E3"/>
    <w:rsid w:val="000D48A0"/>
    <w:rsid w:val="000D5749"/>
    <w:rsid w:val="000D601F"/>
    <w:rsid w:val="000D6112"/>
    <w:rsid w:val="000D680B"/>
    <w:rsid w:val="000D69EA"/>
    <w:rsid w:val="000D6EEC"/>
    <w:rsid w:val="000D73D2"/>
    <w:rsid w:val="000D7472"/>
    <w:rsid w:val="000D787D"/>
    <w:rsid w:val="000D7C5C"/>
    <w:rsid w:val="000D7ECD"/>
    <w:rsid w:val="000E11D3"/>
    <w:rsid w:val="000E1B84"/>
    <w:rsid w:val="000E1BA3"/>
    <w:rsid w:val="000E295A"/>
    <w:rsid w:val="000E2ADD"/>
    <w:rsid w:val="000E2B82"/>
    <w:rsid w:val="000E2D1A"/>
    <w:rsid w:val="000E3193"/>
    <w:rsid w:val="000E3605"/>
    <w:rsid w:val="000E3C9C"/>
    <w:rsid w:val="000E4370"/>
    <w:rsid w:val="000E4997"/>
    <w:rsid w:val="000E4B9E"/>
    <w:rsid w:val="000E4F2E"/>
    <w:rsid w:val="000E5390"/>
    <w:rsid w:val="000E5789"/>
    <w:rsid w:val="000E6355"/>
    <w:rsid w:val="000E63FA"/>
    <w:rsid w:val="000E64FC"/>
    <w:rsid w:val="000E65C5"/>
    <w:rsid w:val="000E6910"/>
    <w:rsid w:val="000E6D1D"/>
    <w:rsid w:val="000E6EC5"/>
    <w:rsid w:val="000E7036"/>
    <w:rsid w:val="000E7523"/>
    <w:rsid w:val="000E7682"/>
    <w:rsid w:val="000E7F3E"/>
    <w:rsid w:val="000F0044"/>
    <w:rsid w:val="000F058A"/>
    <w:rsid w:val="000F13FA"/>
    <w:rsid w:val="000F1896"/>
    <w:rsid w:val="000F1BC0"/>
    <w:rsid w:val="000F2772"/>
    <w:rsid w:val="000F28A6"/>
    <w:rsid w:val="000F2F36"/>
    <w:rsid w:val="000F3419"/>
    <w:rsid w:val="000F3456"/>
    <w:rsid w:val="000F34AC"/>
    <w:rsid w:val="000F386D"/>
    <w:rsid w:val="000F3F9F"/>
    <w:rsid w:val="000F4270"/>
    <w:rsid w:val="000F4722"/>
    <w:rsid w:val="000F4BBB"/>
    <w:rsid w:val="000F50A6"/>
    <w:rsid w:val="000F53A3"/>
    <w:rsid w:val="000F53B6"/>
    <w:rsid w:val="000F6143"/>
    <w:rsid w:val="000F621B"/>
    <w:rsid w:val="000F7234"/>
    <w:rsid w:val="000F7544"/>
    <w:rsid w:val="00100045"/>
    <w:rsid w:val="001009C2"/>
    <w:rsid w:val="00100AFB"/>
    <w:rsid w:val="00100E0F"/>
    <w:rsid w:val="00102401"/>
    <w:rsid w:val="001025F7"/>
    <w:rsid w:val="001029E2"/>
    <w:rsid w:val="00102A9D"/>
    <w:rsid w:val="00102E6F"/>
    <w:rsid w:val="00103037"/>
    <w:rsid w:val="001046D3"/>
    <w:rsid w:val="0010495C"/>
    <w:rsid w:val="001055B7"/>
    <w:rsid w:val="00105C65"/>
    <w:rsid w:val="0010635E"/>
    <w:rsid w:val="00106400"/>
    <w:rsid w:val="00106508"/>
    <w:rsid w:val="001067BD"/>
    <w:rsid w:val="0010681D"/>
    <w:rsid w:val="001068E3"/>
    <w:rsid w:val="001069D1"/>
    <w:rsid w:val="00106FA2"/>
    <w:rsid w:val="001071D5"/>
    <w:rsid w:val="001072A0"/>
    <w:rsid w:val="0010732A"/>
    <w:rsid w:val="001074EC"/>
    <w:rsid w:val="0010757E"/>
    <w:rsid w:val="0010766C"/>
    <w:rsid w:val="0011113E"/>
    <w:rsid w:val="0011143F"/>
    <w:rsid w:val="00111B8E"/>
    <w:rsid w:val="00111D39"/>
    <w:rsid w:val="0011215C"/>
    <w:rsid w:val="00112288"/>
    <w:rsid w:val="001124AA"/>
    <w:rsid w:val="001124B4"/>
    <w:rsid w:val="0011322D"/>
    <w:rsid w:val="00113242"/>
    <w:rsid w:val="0011327A"/>
    <w:rsid w:val="00113526"/>
    <w:rsid w:val="001135A9"/>
    <w:rsid w:val="00113A65"/>
    <w:rsid w:val="001147B6"/>
    <w:rsid w:val="00114A09"/>
    <w:rsid w:val="00114AB5"/>
    <w:rsid w:val="00114CBA"/>
    <w:rsid w:val="001156A6"/>
    <w:rsid w:val="00115953"/>
    <w:rsid w:val="00115ED3"/>
    <w:rsid w:val="0011701F"/>
    <w:rsid w:val="001173E2"/>
    <w:rsid w:val="00117582"/>
    <w:rsid w:val="0011772F"/>
    <w:rsid w:val="0011777A"/>
    <w:rsid w:val="00117E0C"/>
    <w:rsid w:val="00117E23"/>
    <w:rsid w:val="001209DC"/>
    <w:rsid w:val="00120D07"/>
    <w:rsid w:val="00120EE7"/>
    <w:rsid w:val="001210E4"/>
    <w:rsid w:val="001219C1"/>
    <w:rsid w:val="00121EE3"/>
    <w:rsid w:val="001224F8"/>
    <w:rsid w:val="001227B6"/>
    <w:rsid w:val="001228A9"/>
    <w:rsid w:val="001229E7"/>
    <w:rsid w:val="00122C3A"/>
    <w:rsid w:val="00122CF2"/>
    <w:rsid w:val="0012308C"/>
    <w:rsid w:val="00123130"/>
    <w:rsid w:val="001233D9"/>
    <w:rsid w:val="00123A4F"/>
    <w:rsid w:val="00123E2F"/>
    <w:rsid w:val="001242CB"/>
    <w:rsid w:val="0012470B"/>
    <w:rsid w:val="00124CCB"/>
    <w:rsid w:val="00124F1A"/>
    <w:rsid w:val="0012509E"/>
    <w:rsid w:val="00125431"/>
    <w:rsid w:val="00125596"/>
    <w:rsid w:val="00125C91"/>
    <w:rsid w:val="0012640C"/>
    <w:rsid w:val="0012686A"/>
    <w:rsid w:val="0012694E"/>
    <w:rsid w:val="00126E77"/>
    <w:rsid w:val="001271CA"/>
    <w:rsid w:val="00127347"/>
    <w:rsid w:val="0012768F"/>
    <w:rsid w:val="00127853"/>
    <w:rsid w:val="0012798B"/>
    <w:rsid w:val="00127AC5"/>
    <w:rsid w:val="001305EA"/>
    <w:rsid w:val="00130AE3"/>
    <w:rsid w:val="00130DAD"/>
    <w:rsid w:val="0013140D"/>
    <w:rsid w:val="00131734"/>
    <w:rsid w:val="00131A4A"/>
    <w:rsid w:val="00131BE3"/>
    <w:rsid w:val="00132516"/>
    <w:rsid w:val="00132AAD"/>
    <w:rsid w:val="00133597"/>
    <w:rsid w:val="001335AC"/>
    <w:rsid w:val="00133C4E"/>
    <w:rsid w:val="00134426"/>
    <w:rsid w:val="0013486F"/>
    <w:rsid w:val="00134B16"/>
    <w:rsid w:val="00134B6E"/>
    <w:rsid w:val="00134FAA"/>
    <w:rsid w:val="0013509D"/>
    <w:rsid w:val="0013510B"/>
    <w:rsid w:val="00135133"/>
    <w:rsid w:val="0013559F"/>
    <w:rsid w:val="00135977"/>
    <w:rsid w:val="00136038"/>
    <w:rsid w:val="001369F1"/>
    <w:rsid w:val="00136A9B"/>
    <w:rsid w:val="00137579"/>
    <w:rsid w:val="001403E5"/>
    <w:rsid w:val="001404CB"/>
    <w:rsid w:val="00140951"/>
    <w:rsid w:val="00140E98"/>
    <w:rsid w:val="00140F1D"/>
    <w:rsid w:val="00141106"/>
    <w:rsid w:val="00141625"/>
    <w:rsid w:val="001423E9"/>
    <w:rsid w:val="001426E4"/>
    <w:rsid w:val="0014305F"/>
    <w:rsid w:val="00143B1F"/>
    <w:rsid w:val="00143C65"/>
    <w:rsid w:val="00143E2F"/>
    <w:rsid w:val="00143E59"/>
    <w:rsid w:val="001443D5"/>
    <w:rsid w:val="0014492B"/>
    <w:rsid w:val="00144A80"/>
    <w:rsid w:val="00145656"/>
    <w:rsid w:val="001459FA"/>
    <w:rsid w:val="00145A4E"/>
    <w:rsid w:val="00145A61"/>
    <w:rsid w:val="00145E95"/>
    <w:rsid w:val="00145EF2"/>
    <w:rsid w:val="00146396"/>
    <w:rsid w:val="00147867"/>
    <w:rsid w:val="001500C0"/>
    <w:rsid w:val="0015015B"/>
    <w:rsid w:val="00150186"/>
    <w:rsid w:val="001504BA"/>
    <w:rsid w:val="0015064D"/>
    <w:rsid w:val="001507F8"/>
    <w:rsid w:val="0015093C"/>
    <w:rsid w:val="00150A86"/>
    <w:rsid w:val="00150E15"/>
    <w:rsid w:val="00151029"/>
    <w:rsid w:val="001511BD"/>
    <w:rsid w:val="0015135C"/>
    <w:rsid w:val="001517DA"/>
    <w:rsid w:val="00151A98"/>
    <w:rsid w:val="00151BBF"/>
    <w:rsid w:val="00151FE0"/>
    <w:rsid w:val="001520C9"/>
    <w:rsid w:val="001528FC"/>
    <w:rsid w:val="001529C2"/>
    <w:rsid w:val="00152A61"/>
    <w:rsid w:val="00152AD4"/>
    <w:rsid w:val="00152E48"/>
    <w:rsid w:val="00153280"/>
    <w:rsid w:val="00153489"/>
    <w:rsid w:val="00153788"/>
    <w:rsid w:val="001537DC"/>
    <w:rsid w:val="00153BF0"/>
    <w:rsid w:val="00153D39"/>
    <w:rsid w:val="00154352"/>
    <w:rsid w:val="001546C7"/>
    <w:rsid w:val="0015505E"/>
    <w:rsid w:val="0015615E"/>
    <w:rsid w:val="001562E6"/>
    <w:rsid w:val="001565EB"/>
    <w:rsid w:val="00156D76"/>
    <w:rsid w:val="00156DCD"/>
    <w:rsid w:val="001575FE"/>
    <w:rsid w:val="0015793C"/>
    <w:rsid w:val="00157941"/>
    <w:rsid w:val="00157B65"/>
    <w:rsid w:val="00157F18"/>
    <w:rsid w:val="001600B3"/>
    <w:rsid w:val="00160485"/>
    <w:rsid w:val="00160827"/>
    <w:rsid w:val="001608D0"/>
    <w:rsid w:val="00160D19"/>
    <w:rsid w:val="00161343"/>
    <w:rsid w:val="0016192B"/>
    <w:rsid w:val="00161ADE"/>
    <w:rsid w:val="00161E60"/>
    <w:rsid w:val="001627D8"/>
    <w:rsid w:val="001627F9"/>
    <w:rsid w:val="00162889"/>
    <w:rsid w:val="001628EA"/>
    <w:rsid w:val="00162C82"/>
    <w:rsid w:val="00162E36"/>
    <w:rsid w:val="00162F5C"/>
    <w:rsid w:val="00162FE0"/>
    <w:rsid w:val="00163ECB"/>
    <w:rsid w:val="001644CA"/>
    <w:rsid w:val="001648CD"/>
    <w:rsid w:val="001649CD"/>
    <w:rsid w:val="00164EC7"/>
    <w:rsid w:val="001651E2"/>
    <w:rsid w:val="00165EE8"/>
    <w:rsid w:val="00166B89"/>
    <w:rsid w:val="00166BB6"/>
    <w:rsid w:val="00166CDA"/>
    <w:rsid w:val="00166EC2"/>
    <w:rsid w:val="00166F2D"/>
    <w:rsid w:val="00167180"/>
    <w:rsid w:val="00167245"/>
    <w:rsid w:val="00167610"/>
    <w:rsid w:val="00167684"/>
    <w:rsid w:val="001677C0"/>
    <w:rsid w:val="00167C58"/>
    <w:rsid w:val="00167C5D"/>
    <w:rsid w:val="00167F0C"/>
    <w:rsid w:val="001708A2"/>
    <w:rsid w:val="001712B1"/>
    <w:rsid w:val="00171497"/>
    <w:rsid w:val="00171588"/>
    <w:rsid w:val="001715D2"/>
    <w:rsid w:val="001715D3"/>
    <w:rsid w:val="00171C0B"/>
    <w:rsid w:val="00171FD2"/>
    <w:rsid w:val="001726C1"/>
    <w:rsid w:val="00172703"/>
    <w:rsid w:val="00172981"/>
    <w:rsid w:val="00173490"/>
    <w:rsid w:val="0017373B"/>
    <w:rsid w:val="00173879"/>
    <w:rsid w:val="00173D4F"/>
    <w:rsid w:val="00174E97"/>
    <w:rsid w:val="00176172"/>
    <w:rsid w:val="00176781"/>
    <w:rsid w:val="001768C6"/>
    <w:rsid w:val="001769CF"/>
    <w:rsid w:val="001770A2"/>
    <w:rsid w:val="0017749B"/>
    <w:rsid w:val="001775B5"/>
    <w:rsid w:val="00180032"/>
    <w:rsid w:val="001807F4"/>
    <w:rsid w:val="00180E0F"/>
    <w:rsid w:val="0018138B"/>
    <w:rsid w:val="001814BF"/>
    <w:rsid w:val="0018177F"/>
    <w:rsid w:val="001817ED"/>
    <w:rsid w:val="00181A52"/>
    <w:rsid w:val="00181A8F"/>
    <w:rsid w:val="00182236"/>
    <w:rsid w:val="0018228A"/>
    <w:rsid w:val="00182EF8"/>
    <w:rsid w:val="0018339E"/>
    <w:rsid w:val="0018364F"/>
    <w:rsid w:val="00183CBC"/>
    <w:rsid w:val="00183E85"/>
    <w:rsid w:val="0018429A"/>
    <w:rsid w:val="001847F0"/>
    <w:rsid w:val="00185426"/>
    <w:rsid w:val="001854C6"/>
    <w:rsid w:val="00185F2A"/>
    <w:rsid w:val="00185F50"/>
    <w:rsid w:val="001861A4"/>
    <w:rsid w:val="0018631C"/>
    <w:rsid w:val="00186437"/>
    <w:rsid w:val="00186AB6"/>
    <w:rsid w:val="00187133"/>
    <w:rsid w:val="00187135"/>
    <w:rsid w:val="001874FC"/>
    <w:rsid w:val="00187706"/>
    <w:rsid w:val="00187A5F"/>
    <w:rsid w:val="00187E21"/>
    <w:rsid w:val="00190BF6"/>
    <w:rsid w:val="00190F4C"/>
    <w:rsid w:val="001911BA"/>
    <w:rsid w:val="00191377"/>
    <w:rsid w:val="001916E5"/>
    <w:rsid w:val="001917DC"/>
    <w:rsid w:val="00191A16"/>
    <w:rsid w:val="00191EE7"/>
    <w:rsid w:val="0019346A"/>
    <w:rsid w:val="001937F6"/>
    <w:rsid w:val="00193ADB"/>
    <w:rsid w:val="00193B43"/>
    <w:rsid w:val="00193FF1"/>
    <w:rsid w:val="00193FF5"/>
    <w:rsid w:val="0019409A"/>
    <w:rsid w:val="00194201"/>
    <w:rsid w:val="0019425F"/>
    <w:rsid w:val="0019446A"/>
    <w:rsid w:val="001945C6"/>
    <w:rsid w:val="001948AC"/>
    <w:rsid w:val="001948BF"/>
    <w:rsid w:val="00194F8A"/>
    <w:rsid w:val="00195593"/>
    <w:rsid w:val="001956A4"/>
    <w:rsid w:val="00195D6D"/>
    <w:rsid w:val="0019620F"/>
    <w:rsid w:val="00196DEB"/>
    <w:rsid w:val="00196E96"/>
    <w:rsid w:val="00196F43"/>
    <w:rsid w:val="00197053"/>
    <w:rsid w:val="001970AD"/>
    <w:rsid w:val="001972F3"/>
    <w:rsid w:val="00197C2E"/>
    <w:rsid w:val="00197DDE"/>
    <w:rsid w:val="00197F67"/>
    <w:rsid w:val="001A0189"/>
    <w:rsid w:val="001A104D"/>
    <w:rsid w:val="001A10CC"/>
    <w:rsid w:val="001A13DD"/>
    <w:rsid w:val="001A17C4"/>
    <w:rsid w:val="001A1800"/>
    <w:rsid w:val="001A1C89"/>
    <w:rsid w:val="001A201D"/>
    <w:rsid w:val="001A2209"/>
    <w:rsid w:val="001A2560"/>
    <w:rsid w:val="001A2A1B"/>
    <w:rsid w:val="001A2E5E"/>
    <w:rsid w:val="001A2F37"/>
    <w:rsid w:val="001A31FA"/>
    <w:rsid w:val="001A3CAD"/>
    <w:rsid w:val="001A487E"/>
    <w:rsid w:val="001A4B7A"/>
    <w:rsid w:val="001A4C30"/>
    <w:rsid w:val="001A4D78"/>
    <w:rsid w:val="001A52D4"/>
    <w:rsid w:val="001A53B0"/>
    <w:rsid w:val="001A53DF"/>
    <w:rsid w:val="001A5868"/>
    <w:rsid w:val="001A59B5"/>
    <w:rsid w:val="001A6159"/>
    <w:rsid w:val="001A6235"/>
    <w:rsid w:val="001A6301"/>
    <w:rsid w:val="001A71A4"/>
    <w:rsid w:val="001A7230"/>
    <w:rsid w:val="001A7850"/>
    <w:rsid w:val="001B1559"/>
    <w:rsid w:val="001B161B"/>
    <w:rsid w:val="001B2C3B"/>
    <w:rsid w:val="001B39BD"/>
    <w:rsid w:val="001B3CA9"/>
    <w:rsid w:val="001B3E60"/>
    <w:rsid w:val="001B3E9D"/>
    <w:rsid w:val="001B4ABB"/>
    <w:rsid w:val="001B4B68"/>
    <w:rsid w:val="001B4F41"/>
    <w:rsid w:val="001B557C"/>
    <w:rsid w:val="001B5A9C"/>
    <w:rsid w:val="001B5E60"/>
    <w:rsid w:val="001B61D8"/>
    <w:rsid w:val="001B68E0"/>
    <w:rsid w:val="001B6EA9"/>
    <w:rsid w:val="001B70AF"/>
    <w:rsid w:val="001B722D"/>
    <w:rsid w:val="001B72AE"/>
    <w:rsid w:val="001B7749"/>
    <w:rsid w:val="001C054D"/>
    <w:rsid w:val="001C1216"/>
    <w:rsid w:val="001C13F9"/>
    <w:rsid w:val="001C14C6"/>
    <w:rsid w:val="001C175B"/>
    <w:rsid w:val="001C1BD5"/>
    <w:rsid w:val="001C1C4A"/>
    <w:rsid w:val="001C1CDE"/>
    <w:rsid w:val="001C23BD"/>
    <w:rsid w:val="001C24F1"/>
    <w:rsid w:val="001C2584"/>
    <w:rsid w:val="001C2887"/>
    <w:rsid w:val="001C330C"/>
    <w:rsid w:val="001C33E8"/>
    <w:rsid w:val="001C3594"/>
    <w:rsid w:val="001C38FD"/>
    <w:rsid w:val="001C3F9F"/>
    <w:rsid w:val="001C4188"/>
    <w:rsid w:val="001C43C3"/>
    <w:rsid w:val="001C4B00"/>
    <w:rsid w:val="001C4D7B"/>
    <w:rsid w:val="001C539D"/>
    <w:rsid w:val="001C5439"/>
    <w:rsid w:val="001C55AB"/>
    <w:rsid w:val="001C5778"/>
    <w:rsid w:val="001C5EE5"/>
    <w:rsid w:val="001C5F50"/>
    <w:rsid w:val="001C5F6E"/>
    <w:rsid w:val="001C6200"/>
    <w:rsid w:val="001C6BCF"/>
    <w:rsid w:val="001C7452"/>
    <w:rsid w:val="001C753F"/>
    <w:rsid w:val="001C770F"/>
    <w:rsid w:val="001C790B"/>
    <w:rsid w:val="001C7CA4"/>
    <w:rsid w:val="001C7E18"/>
    <w:rsid w:val="001C7F99"/>
    <w:rsid w:val="001C7FEB"/>
    <w:rsid w:val="001D0165"/>
    <w:rsid w:val="001D04D2"/>
    <w:rsid w:val="001D067F"/>
    <w:rsid w:val="001D0802"/>
    <w:rsid w:val="001D09DD"/>
    <w:rsid w:val="001D0C9D"/>
    <w:rsid w:val="001D0E29"/>
    <w:rsid w:val="001D1455"/>
    <w:rsid w:val="001D193A"/>
    <w:rsid w:val="001D1A17"/>
    <w:rsid w:val="001D1A49"/>
    <w:rsid w:val="001D2A45"/>
    <w:rsid w:val="001D2E5C"/>
    <w:rsid w:val="001D2E91"/>
    <w:rsid w:val="001D2F68"/>
    <w:rsid w:val="001D323F"/>
    <w:rsid w:val="001D360A"/>
    <w:rsid w:val="001D36A5"/>
    <w:rsid w:val="001D3E57"/>
    <w:rsid w:val="001D4070"/>
    <w:rsid w:val="001D4096"/>
    <w:rsid w:val="001D44A5"/>
    <w:rsid w:val="001D4AB6"/>
    <w:rsid w:val="001D503E"/>
    <w:rsid w:val="001D5429"/>
    <w:rsid w:val="001D5449"/>
    <w:rsid w:val="001D5CF2"/>
    <w:rsid w:val="001D6224"/>
    <w:rsid w:val="001D641D"/>
    <w:rsid w:val="001D6764"/>
    <w:rsid w:val="001D68DF"/>
    <w:rsid w:val="001D69CF"/>
    <w:rsid w:val="001D6D02"/>
    <w:rsid w:val="001D715D"/>
    <w:rsid w:val="001D71D1"/>
    <w:rsid w:val="001D7BD0"/>
    <w:rsid w:val="001E00E2"/>
    <w:rsid w:val="001E0850"/>
    <w:rsid w:val="001E093A"/>
    <w:rsid w:val="001E0B0B"/>
    <w:rsid w:val="001E0F20"/>
    <w:rsid w:val="001E0F73"/>
    <w:rsid w:val="001E11BA"/>
    <w:rsid w:val="001E168C"/>
    <w:rsid w:val="001E178B"/>
    <w:rsid w:val="001E18DA"/>
    <w:rsid w:val="001E1B9C"/>
    <w:rsid w:val="001E1BD8"/>
    <w:rsid w:val="001E1C15"/>
    <w:rsid w:val="001E2211"/>
    <w:rsid w:val="001E24A4"/>
    <w:rsid w:val="001E2BF3"/>
    <w:rsid w:val="001E3011"/>
    <w:rsid w:val="001E35F5"/>
    <w:rsid w:val="001E3B3E"/>
    <w:rsid w:val="001E3DA6"/>
    <w:rsid w:val="001E4367"/>
    <w:rsid w:val="001E439E"/>
    <w:rsid w:val="001E46FC"/>
    <w:rsid w:val="001E4C01"/>
    <w:rsid w:val="001E510A"/>
    <w:rsid w:val="001E5AD1"/>
    <w:rsid w:val="001E5AEB"/>
    <w:rsid w:val="001E5D45"/>
    <w:rsid w:val="001E5F38"/>
    <w:rsid w:val="001E632E"/>
    <w:rsid w:val="001E6900"/>
    <w:rsid w:val="001E7059"/>
    <w:rsid w:val="001E74F1"/>
    <w:rsid w:val="001E7895"/>
    <w:rsid w:val="001E7B72"/>
    <w:rsid w:val="001F00D7"/>
    <w:rsid w:val="001F04E4"/>
    <w:rsid w:val="001F0821"/>
    <w:rsid w:val="001F08D9"/>
    <w:rsid w:val="001F0BF9"/>
    <w:rsid w:val="001F0D22"/>
    <w:rsid w:val="001F0DBB"/>
    <w:rsid w:val="001F132D"/>
    <w:rsid w:val="001F134C"/>
    <w:rsid w:val="001F15FA"/>
    <w:rsid w:val="001F1C7B"/>
    <w:rsid w:val="001F1CBF"/>
    <w:rsid w:val="001F1F5F"/>
    <w:rsid w:val="001F21C3"/>
    <w:rsid w:val="001F2344"/>
    <w:rsid w:val="001F27C7"/>
    <w:rsid w:val="001F27D9"/>
    <w:rsid w:val="001F2865"/>
    <w:rsid w:val="001F2BF1"/>
    <w:rsid w:val="001F30F8"/>
    <w:rsid w:val="001F3273"/>
    <w:rsid w:val="001F362F"/>
    <w:rsid w:val="001F3921"/>
    <w:rsid w:val="001F3976"/>
    <w:rsid w:val="001F43C3"/>
    <w:rsid w:val="001F4F91"/>
    <w:rsid w:val="001F5271"/>
    <w:rsid w:val="001F5371"/>
    <w:rsid w:val="001F53FC"/>
    <w:rsid w:val="001F54EB"/>
    <w:rsid w:val="001F5540"/>
    <w:rsid w:val="001F5C90"/>
    <w:rsid w:val="001F5CF3"/>
    <w:rsid w:val="001F5E87"/>
    <w:rsid w:val="001F5ED7"/>
    <w:rsid w:val="001F5F0D"/>
    <w:rsid w:val="001F623D"/>
    <w:rsid w:val="001F62A3"/>
    <w:rsid w:val="001F6359"/>
    <w:rsid w:val="001F6486"/>
    <w:rsid w:val="001F6B2F"/>
    <w:rsid w:val="001F6BF1"/>
    <w:rsid w:val="001F6EFB"/>
    <w:rsid w:val="001F71AE"/>
    <w:rsid w:val="00200159"/>
    <w:rsid w:val="00200468"/>
    <w:rsid w:val="00200B48"/>
    <w:rsid w:val="00200B73"/>
    <w:rsid w:val="00200EA5"/>
    <w:rsid w:val="00201034"/>
    <w:rsid w:val="002015C1"/>
    <w:rsid w:val="00201D4A"/>
    <w:rsid w:val="002024DF"/>
    <w:rsid w:val="002028C2"/>
    <w:rsid w:val="0020294C"/>
    <w:rsid w:val="00202B20"/>
    <w:rsid w:val="0020308A"/>
    <w:rsid w:val="00203C97"/>
    <w:rsid w:val="0020494D"/>
    <w:rsid w:val="002050D0"/>
    <w:rsid w:val="002055C7"/>
    <w:rsid w:val="002056B7"/>
    <w:rsid w:val="002057BF"/>
    <w:rsid w:val="002059F8"/>
    <w:rsid w:val="00205B6B"/>
    <w:rsid w:val="00205EAC"/>
    <w:rsid w:val="00206336"/>
    <w:rsid w:val="002065F2"/>
    <w:rsid w:val="00206652"/>
    <w:rsid w:val="0020665D"/>
    <w:rsid w:val="00206804"/>
    <w:rsid w:val="00206BAE"/>
    <w:rsid w:val="00206BAF"/>
    <w:rsid w:val="00206F02"/>
    <w:rsid w:val="002071DB"/>
    <w:rsid w:val="002073E1"/>
    <w:rsid w:val="002073EC"/>
    <w:rsid w:val="00207628"/>
    <w:rsid w:val="002076B6"/>
    <w:rsid w:val="002076F2"/>
    <w:rsid w:val="00207A6F"/>
    <w:rsid w:val="00207E35"/>
    <w:rsid w:val="00207EC9"/>
    <w:rsid w:val="00207EE7"/>
    <w:rsid w:val="00210248"/>
    <w:rsid w:val="0021041B"/>
    <w:rsid w:val="00210A71"/>
    <w:rsid w:val="00211591"/>
    <w:rsid w:val="002117A5"/>
    <w:rsid w:val="002117F0"/>
    <w:rsid w:val="00211C97"/>
    <w:rsid w:val="002127DC"/>
    <w:rsid w:val="00213AF4"/>
    <w:rsid w:val="00214107"/>
    <w:rsid w:val="002144D8"/>
    <w:rsid w:val="002147B1"/>
    <w:rsid w:val="002148AC"/>
    <w:rsid w:val="00215041"/>
    <w:rsid w:val="002153EE"/>
    <w:rsid w:val="0021565D"/>
    <w:rsid w:val="00215723"/>
    <w:rsid w:val="00215817"/>
    <w:rsid w:val="0021592F"/>
    <w:rsid w:val="002167D9"/>
    <w:rsid w:val="00216E6F"/>
    <w:rsid w:val="002171AF"/>
    <w:rsid w:val="002176B6"/>
    <w:rsid w:val="00217851"/>
    <w:rsid w:val="002201E4"/>
    <w:rsid w:val="00220555"/>
    <w:rsid w:val="00220558"/>
    <w:rsid w:val="00220589"/>
    <w:rsid w:val="002205F6"/>
    <w:rsid w:val="0022072A"/>
    <w:rsid w:val="00220B52"/>
    <w:rsid w:val="00220C12"/>
    <w:rsid w:val="002211AF"/>
    <w:rsid w:val="00221444"/>
    <w:rsid w:val="0022165F"/>
    <w:rsid w:val="0022179F"/>
    <w:rsid w:val="00221D63"/>
    <w:rsid w:val="00222456"/>
    <w:rsid w:val="00222B90"/>
    <w:rsid w:val="00222C5B"/>
    <w:rsid w:val="00223123"/>
    <w:rsid w:val="00223448"/>
    <w:rsid w:val="00223520"/>
    <w:rsid w:val="002235CF"/>
    <w:rsid w:val="00223655"/>
    <w:rsid w:val="0022390B"/>
    <w:rsid w:val="00223EFB"/>
    <w:rsid w:val="00224569"/>
    <w:rsid w:val="00224721"/>
    <w:rsid w:val="002250D7"/>
    <w:rsid w:val="00225577"/>
    <w:rsid w:val="002258F1"/>
    <w:rsid w:val="00225A55"/>
    <w:rsid w:val="00225BA6"/>
    <w:rsid w:val="002265E6"/>
    <w:rsid w:val="00226756"/>
    <w:rsid w:val="002267EA"/>
    <w:rsid w:val="00226955"/>
    <w:rsid w:val="002269CE"/>
    <w:rsid w:val="00226BAC"/>
    <w:rsid w:val="00227571"/>
    <w:rsid w:val="00227C46"/>
    <w:rsid w:val="00227E60"/>
    <w:rsid w:val="00230637"/>
    <w:rsid w:val="00230BF7"/>
    <w:rsid w:val="00231075"/>
    <w:rsid w:val="00231195"/>
    <w:rsid w:val="00231875"/>
    <w:rsid w:val="0023190A"/>
    <w:rsid w:val="00232578"/>
    <w:rsid w:val="002329F7"/>
    <w:rsid w:val="0023317E"/>
    <w:rsid w:val="002335F0"/>
    <w:rsid w:val="00234109"/>
    <w:rsid w:val="0023433D"/>
    <w:rsid w:val="0023438C"/>
    <w:rsid w:val="00234391"/>
    <w:rsid w:val="002343B5"/>
    <w:rsid w:val="002343CA"/>
    <w:rsid w:val="0023508D"/>
    <w:rsid w:val="0023575E"/>
    <w:rsid w:val="002357A3"/>
    <w:rsid w:val="00236687"/>
    <w:rsid w:val="00236A8A"/>
    <w:rsid w:val="00236B5F"/>
    <w:rsid w:val="00237048"/>
    <w:rsid w:val="00237979"/>
    <w:rsid w:val="00237AA1"/>
    <w:rsid w:val="00237AD9"/>
    <w:rsid w:val="002402A2"/>
    <w:rsid w:val="0024031E"/>
    <w:rsid w:val="002403CA"/>
    <w:rsid w:val="00240610"/>
    <w:rsid w:val="00240A91"/>
    <w:rsid w:val="00240CDB"/>
    <w:rsid w:val="002414F5"/>
    <w:rsid w:val="002415E1"/>
    <w:rsid w:val="002418E6"/>
    <w:rsid w:val="00241E92"/>
    <w:rsid w:val="00242A73"/>
    <w:rsid w:val="00242D11"/>
    <w:rsid w:val="002431E9"/>
    <w:rsid w:val="00243207"/>
    <w:rsid w:val="002432B4"/>
    <w:rsid w:val="002436B4"/>
    <w:rsid w:val="00243A9F"/>
    <w:rsid w:val="00243D19"/>
    <w:rsid w:val="00243D59"/>
    <w:rsid w:val="00244009"/>
    <w:rsid w:val="002440D7"/>
    <w:rsid w:val="00244415"/>
    <w:rsid w:val="002445E6"/>
    <w:rsid w:val="00244849"/>
    <w:rsid w:val="00244856"/>
    <w:rsid w:val="00244919"/>
    <w:rsid w:val="00244AE8"/>
    <w:rsid w:val="00244CC8"/>
    <w:rsid w:val="00244D4B"/>
    <w:rsid w:val="00245231"/>
    <w:rsid w:val="0024528D"/>
    <w:rsid w:val="00245531"/>
    <w:rsid w:val="002457F1"/>
    <w:rsid w:val="00245F2B"/>
    <w:rsid w:val="00245F53"/>
    <w:rsid w:val="00245FBF"/>
    <w:rsid w:val="00246082"/>
    <w:rsid w:val="00246169"/>
    <w:rsid w:val="00246AE7"/>
    <w:rsid w:val="002471AF"/>
    <w:rsid w:val="00247BA9"/>
    <w:rsid w:val="00247F00"/>
    <w:rsid w:val="00250081"/>
    <w:rsid w:val="00250CA7"/>
    <w:rsid w:val="00250FCB"/>
    <w:rsid w:val="002511F3"/>
    <w:rsid w:val="00251AC9"/>
    <w:rsid w:val="00251B33"/>
    <w:rsid w:val="00251D03"/>
    <w:rsid w:val="00251FBC"/>
    <w:rsid w:val="0025257C"/>
    <w:rsid w:val="0025295C"/>
    <w:rsid w:val="00252B2D"/>
    <w:rsid w:val="00252C7C"/>
    <w:rsid w:val="00252EC4"/>
    <w:rsid w:val="002535D1"/>
    <w:rsid w:val="00253DEF"/>
    <w:rsid w:val="002542B6"/>
    <w:rsid w:val="0025452F"/>
    <w:rsid w:val="00254CFE"/>
    <w:rsid w:val="00255393"/>
    <w:rsid w:val="00255C3C"/>
    <w:rsid w:val="00255EE6"/>
    <w:rsid w:val="00256645"/>
    <w:rsid w:val="0025675D"/>
    <w:rsid w:val="00256CCF"/>
    <w:rsid w:val="00256F5C"/>
    <w:rsid w:val="002579DE"/>
    <w:rsid w:val="00257B8B"/>
    <w:rsid w:val="002600D6"/>
    <w:rsid w:val="002600F3"/>
    <w:rsid w:val="00260AC4"/>
    <w:rsid w:val="00260EC3"/>
    <w:rsid w:val="00260F1B"/>
    <w:rsid w:val="00261199"/>
    <w:rsid w:val="00261436"/>
    <w:rsid w:val="00261B77"/>
    <w:rsid w:val="00261D2A"/>
    <w:rsid w:val="00262AF4"/>
    <w:rsid w:val="00262E09"/>
    <w:rsid w:val="0026363B"/>
    <w:rsid w:val="00263C9F"/>
    <w:rsid w:val="00264006"/>
    <w:rsid w:val="00264DB0"/>
    <w:rsid w:val="00265120"/>
    <w:rsid w:val="00265C0E"/>
    <w:rsid w:val="00265C94"/>
    <w:rsid w:val="00265CD1"/>
    <w:rsid w:val="00265DCD"/>
    <w:rsid w:val="00265F5A"/>
    <w:rsid w:val="00266A8F"/>
    <w:rsid w:val="00266B14"/>
    <w:rsid w:val="00266BDC"/>
    <w:rsid w:val="00266C06"/>
    <w:rsid w:val="00266FC6"/>
    <w:rsid w:val="00267445"/>
    <w:rsid w:val="00267541"/>
    <w:rsid w:val="00267632"/>
    <w:rsid w:val="0026790D"/>
    <w:rsid w:val="00267988"/>
    <w:rsid w:val="00267B07"/>
    <w:rsid w:val="00270796"/>
    <w:rsid w:val="002709CD"/>
    <w:rsid w:val="0027119B"/>
    <w:rsid w:val="002719CA"/>
    <w:rsid w:val="00271BB9"/>
    <w:rsid w:val="00271C98"/>
    <w:rsid w:val="002723C9"/>
    <w:rsid w:val="002729AE"/>
    <w:rsid w:val="00272AFC"/>
    <w:rsid w:val="00272F24"/>
    <w:rsid w:val="00273031"/>
    <w:rsid w:val="002735EB"/>
    <w:rsid w:val="0027394C"/>
    <w:rsid w:val="00273C6B"/>
    <w:rsid w:val="00273DF7"/>
    <w:rsid w:val="0027524F"/>
    <w:rsid w:val="00275455"/>
    <w:rsid w:val="00275A73"/>
    <w:rsid w:val="002761EF"/>
    <w:rsid w:val="00276616"/>
    <w:rsid w:val="00276A5C"/>
    <w:rsid w:val="00276B52"/>
    <w:rsid w:val="002770D4"/>
    <w:rsid w:val="002771C4"/>
    <w:rsid w:val="002777F2"/>
    <w:rsid w:val="00277C58"/>
    <w:rsid w:val="00280097"/>
    <w:rsid w:val="0028075F"/>
    <w:rsid w:val="002808D1"/>
    <w:rsid w:val="00280CBA"/>
    <w:rsid w:val="00281799"/>
    <w:rsid w:val="00281B1B"/>
    <w:rsid w:val="00281BFE"/>
    <w:rsid w:val="00281E00"/>
    <w:rsid w:val="00281E44"/>
    <w:rsid w:val="0028214B"/>
    <w:rsid w:val="00282A0B"/>
    <w:rsid w:val="00282A97"/>
    <w:rsid w:val="00282A98"/>
    <w:rsid w:val="00282CB4"/>
    <w:rsid w:val="002831A8"/>
    <w:rsid w:val="00283DCE"/>
    <w:rsid w:val="00283ED8"/>
    <w:rsid w:val="00283F80"/>
    <w:rsid w:val="00284178"/>
    <w:rsid w:val="0028427F"/>
    <w:rsid w:val="00284F67"/>
    <w:rsid w:val="00284FA5"/>
    <w:rsid w:val="002853B1"/>
    <w:rsid w:val="002859DA"/>
    <w:rsid w:val="00285AB9"/>
    <w:rsid w:val="002868A7"/>
    <w:rsid w:val="00286C38"/>
    <w:rsid w:val="00287036"/>
    <w:rsid w:val="00287191"/>
    <w:rsid w:val="00287285"/>
    <w:rsid w:val="002872CF"/>
    <w:rsid w:val="00287E78"/>
    <w:rsid w:val="0029021F"/>
    <w:rsid w:val="0029032F"/>
    <w:rsid w:val="00290B50"/>
    <w:rsid w:val="002910FD"/>
    <w:rsid w:val="002912E6"/>
    <w:rsid w:val="002912FA"/>
    <w:rsid w:val="00291663"/>
    <w:rsid w:val="002916F7"/>
    <w:rsid w:val="00291D36"/>
    <w:rsid w:val="00292206"/>
    <w:rsid w:val="002922A6"/>
    <w:rsid w:val="00292311"/>
    <w:rsid w:val="0029318E"/>
    <w:rsid w:val="002932C2"/>
    <w:rsid w:val="002933E5"/>
    <w:rsid w:val="002935B9"/>
    <w:rsid w:val="00293638"/>
    <w:rsid w:val="0029398F"/>
    <w:rsid w:val="00294A63"/>
    <w:rsid w:val="00294AAE"/>
    <w:rsid w:val="00295252"/>
    <w:rsid w:val="002953F4"/>
    <w:rsid w:val="0029664E"/>
    <w:rsid w:val="002966E7"/>
    <w:rsid w:val="00297E7E"/>
    <w:rsid w:val="002A01EF"/>
    <w:rsid w:val="002A04F0"/>
    <w:rsid w:val="002A0A60"/>
    <w:rsid w:val="002A0BC4"/>
    <w:rsid w:val="002A1012"/>
    <w:rsid w:val="002A27B2"/>
    <w:rsid w:val="002A3126"/>
    <w:rsid w:val="002A31D3"/>
    <w:rsid w:val="002A35C9"/>
    <w:rsid w:val="002A3B6B"/>
    <w:rsid w:val="002A4066"/>
    <w:rsid w:val="002A42EC"/>
    <w:rsid w:val="002A46D2"/>
    <w:rsid w:val="002A506A"/>
    <w:rsid w:val="002A526B"/>
    <w:rsid w:val="002A58B2"/>
    <w:rsid w:val="002A58CF"/>
    <w:rsid w:val="002A5A5C"/>
    <w:rsid w:val="002A63F0"/>
    <w:rsid w:val="002A64E6"/>
    <w:rsid w:val="002A68FF"/>
    <w:rsid w:val="002A698D"/>
    <w:rsid w:val="002A6E9C"/>
    <w:rsid w:val="002A75A6"/>
    <w:rsid w:val="002A7B93"/>
    <w:rsid w:val="002B044C"/>
    <w:rsid w:val="002B0575"/>
    <w:rsid w:val="002B0630"/>
    <w:rsid w:val="002B0731"/>
    <w:rsid w:val="002B0A9F"/>
    <w:rsid w:val="002B0BDD"/>
    <w:rsid w:val="002B0F0B"/>
    <w:rsid w:val="002B198C"/>
    <w:rsid w:val="002B1BEE"/>
    <w:rsid w:val="002B1CDA"/>
    <w:rsid w:val="002B1EDE"/>
    <w:rsid w:val="002B256E"/>
    <w:rsid w:val="002B2607"/>
    <w:rsid w:val="002B2BEC"/>
    <w:rsid w:val="002B2FB5"/>
    <w:rsid w:val="002B3021"/>
    <w:rsid w:val="002B37EC"/>
    <w:rsid w:val="002B3887"/>
    <w:rsid w:val="002B426E"/>
    <w:rsid w:val="002B4423"/>
    <w:rsid w:val="002B4D13"/>
    <w:rsid w:val="002B4E86"/>
    <w:rsid w:val="002B4FAE"/>
    <w:rsid w:val="002B5015"/>
    <w:rsid w:val="002B5033"/>
    <w:rsid w:val="002B5083"/>
    <w:rsid w:val="002B5125"/>
    <w:rsid w:val="002B542D"/>
    <w:rsid w:val="002B57CD"/>
    <w:rsid w:val="002B58AE"/>
    <w:rsid w:val="002B5B9E"/>
    <w:rsid w:val="002B5BCE"/>
    <w:rsid w:val="002B5C14"/>
    <w:rsid w:val="002B5CF2"/>
    <w:rsid w:val="002B624B"/>
    <w:rsid w:val="002B63EE"/>
    <w:rsid w:val="002B7C2F"/>
    <w:rsid w:val="002B7E95"/>
    <w:rsid w:val="002B7F7C"/>
    <w:rsid w:val="002B7FE6"/>
    <w:rsid w:val="002C0280"/>
    <w:rsid w:val="002C0A37"/>
    <w:rsid w:val="002C0AAE"/>
    <w:rsid w:val="002C0BE5"/>
    <w:rsid w:val="002C0DC0"/>
    <w:rsid w:val="002C0E5E"/>
    <w:rsid w:val="002C1428"/>
    <w:rsid w:val="002C1503"/>
    <w:rsid w:val="002C1C19"/>
    <w:rsid w:val="002C1FEB"/>
    <w:rsid w:val="002C2357"/>
    <w:rsid w:val="002C23A0"/>
    <w:rsid w:val="002C28B4"/>
    <w:rsid w:val="002C2DBB"/>
    <w:rsid w:val="002C2E4D"/>
    <w:rsid w:val="002C31D5"/>
    <w:rsid w:val="002C3469"/>
    <w:rsid w:val="002C366C"/>
    <w:rsid w:val="002C384D"/>
    <w:rsid w:val="002C3868"/>
    <w:rsid w:val="002C3AC9"/>
    <w:rsid w:val="002C3F8A"/>
    <w:rsid w:val="002C4406"/>
    <w:rsid w:val="002C4528"/>
    <w:rsid w:val="002C4D4B"/>
    <w:rsid w:val="002C4EE9"/>
    <w:rsid w:val="002C55E8"/>
    <w:rsid w:val="002C5C72"/>
    <w:rsid w:val="002C5CBD"/>
    <w:rsid w:val="002C6086"/>
    <w:rsid w:val="002C60C8"/>
    <w:rsid w:val="002C6310"/>
    <w:rsid w:val="002C63BE"/>
    <w:rsid w:val="002C7106"/>
    <w:rsid w:val="002C71E3"/>
    <w:rsid w:val="002C73BA"/>
    <w:rsid w:val="002C7531"/>
    <w:rsid w:val="002C77CB"/>
    <w:rsid w:val="002C7874"/>
    <w:rsid w:val="002C7B6C"/>
    <w:rsid w:val="002C7E11"/>
    <w:rsid w:val="002D006C"/>
    <w:rsid w:val="002D011F"/>
    <w:rsid w:val="002D04E4"/>
    <w:rsid w:val="002D0954"/>
    <w:rsid w:val="002D103B"/>
    <w:rsid w:val="002D1209"/>
    <w:rsid w:val="002D2332"/>
    <w:rsid w:val="002D24F4"/>
    <w:rsid w:val="002D2D30"/>
    <w:rsid w:val="002D342F"/>
    <w:rsid w:val="002D38EB"/>
    <w:rsid w:val="002D3954"/>
    <w:rsid w:val="002D3FB0"/>
    <w:rsid w:val="002D409C"/>
    <w:rsid w:val="002D4780"/>
    <w:rsid w:val="002D4B71"/>
    <w:rsid w:val="002D4D04"/>
    <w:rsid w:val="002D4FA7"/>
    <w:rsid w:val="002D595E"/>
    <w:rsid w:val="002D5BDF"/>
    <w:rsid w:val="002D65FD"/>
    <w:rsid w:val="002D69E5"/>
    <w:rsid w:val="002D6A81"/>
    <w:rsid w:val="002D6FD2"/>
    <w:rsid w:val="002D7150"/>
    <w:rsid w:val="002D741F"/>
    <w:rsid w:val="002D7ABA"/>
    <w:rsid w:val="002E01C6"/>
    <w:rsid w:val="002E0537"/>
    <w:rsid w:val="002E065A"/>
    <w:rsid w:val="002E081E"/>
    <w:rsid w:val="002E083A"/>
    <w:rsid w:val="002E0ADC"/>
    <w:rsid w:val="002E0B51"/>
    <w:rsid w:val="002E0DE2"/>
    <w:rsid w:val="002E0F70"/>
    <w:rsid w:val="002E1417"/>
    <w:rsid w:val="002E1D53"/>
    <w:rsid w:val="002E1EF8"/>
    <w:rsid w:val="002E243C"/>
    <w:rsid w:val="002E270E"/>
    <w:rsid w:val="002E2786"/>
    <w:rsid w:val="002E2864"/>
    <w:rsid w:val="002E2B7C"/>
    <w:rsid w:val="002E34EE"/>
    <w:rsid w:val="002E34F9"/>
    <w:rsid w:val="002E3B2F"/>
    <w:rsid w:val="002E3FEE"/>
    <w:rsid w:val="002E40F9"/>
    <w:rsid w:val="002E41B3"/>
    <w:rsid w:val="002E4D51"/>
    <w:rsid w:val="002E584C"/>
    <w:rsid w:val="002E5918"/>
    <w:rsid w:val="002E61BC"/>
    <w:rsid w:val="002E6713"/>
    <w:rsid w:val="002E6A6A"/>
    <w:rsid w:val="002E6AC3"/>
    <w:rsid w:val="002E6D6D"/>
    <w:rsid w:val="002E7755"/>
    <w:rsid w:val="002E7C1F"/>
    <w:rsid w:val="002E7E91"/>
    <w:rsid w:val="002F0EFB"/>
    <w:rsid w:val="002F0F0D"/>
    <w:rsid w:val="002F1578"/>
    <w:rsid w:val="002F16CD"/>
    <w:rsid w:val="002F1A54"/>
    <w:rsid w:val="002F1C50"/>
    <w:rsid w:val="002F1CC8"/>
    <w:rsid w:val="002F1DDC"/>
    <w:rsid w:val="002F2445"/>
    <w:rsid w:val="002F2584"/>
    <w:rsid w:val="002F27B4"/>
    <w:rsid w:val="002F27BE"/>
    <w:rsid w:val="002F2E84"/>
    <w:rsid w:val="002F2F61"/>
    <w:rsid w:val="002F306D"/>
    <w:rsid w:val="002F30D3"/>
    <w:rsid w:val="002F3A5E"/>
    <w:rsid w:val="002F3F3A"/>
    <w:rsid w:val="002F4063"/>
    <w:rsid w:val="002F47EE"/>
    <w:rsid w:val="002F4A2D"/>
    <w:rsid w:val="002F4AAD"/>
    <w:rsid w:val="002F4B02"/>
    <w:rsid w:val="002F4CB0"/>
    <w:rsid w:val="002F4FCA"/>
    <w:rsid w:val="002F5068"/>
    <w:rsid w:val="002F5534"/>
    <w:rsid w:val="002F609A"/>
    <w:rsid w:val="002F6151"/>
    <w:rsid w:val="002F6D65"/>
    <w:rsid w:val="002F6E33"/>
    <w:rsid w:val="002F7BFB"/>
    <w:rsid w:val="002F7F3F"/>
    <w:rsid w:val="00300127"/>
    <w:rsid w:val="00300560"/>
    <w:rsid w:val="00300F0A"/>
    <w:rsid w:val="00301086"/>
    <w:rsid w:val="00301606"/>
    <w:rsid w:val="0030188B"/>
    <w:rsid w:val="0030208F"/>
    <w:rsid w:val="0030225A"/>
    <w:rsid w:val="0030283F"/>
    <w:rsid w:val="00302D9B"/>
    <w:rsid w:val="0030321F"/>
    <w:rsid w:val="0030356B"/>
    <w:rsid w:val="003035F4"/>
    <w:rsid w:val="0030393A"/>
    <w:rsid w:val="00303BC6"/>
    <w:rsid w:val="0030453C"/>
    <w:rsid w:val="0030467B"/>
    <w:rsid w:val="003050C9"/>
    <w:rsid w:val="003059FD"/>
    <w:rsid w:val="003062EC"/>
    <w:rsid w:val="00306429"/>
    <w:rsid w:val="00306648"/>
    <w:rsid w:val="00306892"/>
    <w:rsid w:val="003068DD"/>
    <w:rsid w:val="00306E18"/>
    <w:rsid w:val="00307333"/>
    <w:rsid w:val="00307516"/>
    <w:rsid w:val="003078DB"/>
    <w:rsid w:val="00307915"/>
    <w:rsid w:val="00307BEB"/>
    <w:rsid w:val="00310650"/>
    <w:rsid w:val="00310DCF"/>
    <w:rsid w:val="003111D8"/>
    <w:rsid w:val="0031171E"/>
    <w:rsid w:val="003119F9"/>
    <w:rsid w:val="00311F88"/>
    <w:rsid w:val="003120C1"/>
    <w:rsid w:val="00312738"/>
    <w:rsid w:val="00312946"/>
    <w:rsid w:val="00313227"/>
    <w:rsid w:val="00313723"/>
    <w:rsid w:val="00313A14"/>
    <w:rsid w:val="00313DF1"/>
    <w:rsid w:val="003143B9"/>
    <w:rsid w:val="00314937"/>
    <w:rsid w:val="00314962"/>
    <w:rsid w:val="00314B8A"/>
    <w:rsid w:val="00314BF7"/>
    <w:rsid w:val="00314C5A"/>
    <w:rsid w:val="00315300"/>
    <w:rsid w:val="003156B3"/>
    <w:rsid w:val="0031586B"/>
    <w:rsid w:val="00315C9E"/>
    <w:rsid w:val="00315E49"/>
    <w:rsid w:val="0031644E"/>
    <w:rsid w:val="003164F9"/>
    <w:rsid w:val="00316E97"/>
    <w:rsid w:val="00317183"/>
    <w:rsid w:val="00317195"/>
    <w:rsid w:val="0031735F"/>
    <w:rsid w:val="00317B41"/>
    <w:rsid w:val="00320230"/>
    <w:rsid w:val="00320737"/>
    <w:rsid w:val="00320A51"/>
    <w:rsid w:val="00320B2F"/>
    <w:rsid w:val="00320D97"/>
    <w:rsid w:val="00321062"/>
    <w:rsid w:val="003212CA"/>
    <w:rsid w:val="00321B44"/>
    <w:rsid w:val="0032242C"/>
    <w:rsid w:val="003226A1"/>
    <w:rsid w:val="00322E76"/>
    <w:rsid w:val="003245F4"/>
    <w:rsid w:val="00324742"/>
    <w:rsid w:val="00324807"/>
    <w:rsid w:val="00324844"/>
    <w:rsid w:val="0032566C"/>
    <w:rsid w:val="0032633E"/>
    <w:rsid w:val="00326B3C"/>
    <w:rsid w:val="003271CD"/>
    <w:rsid w:val="003276F6"/>
    <w:rsid w:val="00327926"/>
    <w:rsid w:val="00327B01"/>
    <w:rsid w:val="00327CD8"/>
    <w:rsid w:val="0033008B"/>
    <w:rsid w:val="003306BA"/>
    <w:rsid w:val="00330995"/>
    <w:rsid w:val="003309B0"/>
    <w:rsid w:val="003309DD"/>
    <w:rsid w:val="00330A31"/>
    <w:rsid w:val="00330C47"/>
    <w:rsid w:val="00330F34"/>
    <w:rsid w:val="00330FDD"/>
    <w:rsid w:val="003310A3"/>
    <w:rsid w:val="003312E2"/>
    <w:rsid w:val="00331415"/>
    <w:rsid w:val="00331E2D"/>
    <w:rsid w:val="00331E60"/>
    <w:rsid w:val="00331FDD"/>
    <w:rsid w:val="003325A2"/>
    <w:rsid w:val="0033281D"/>
    <w:rsid w:val="00332895"/>
    <w:rsid w:val="0033289F"/>
    <w:rsid w:val="00332A4E"/>
    <w:rsid w:val="003331CE"/>
    <w:rsid w:val="0033334E"/>
    <w:rsid w:val="00333487"/>
    <w:rsid w:val="003334C7"/>
    <w:rsid w:val="00333704"/>
    <w:rsid w:val="00333A0F"/>
    <w:rsid w:val="00333F15"/>
    <w:rsid w:val="003340FB"/>
    <w:rsid w:val="00334223"/>
    <w:rsid w:val="003349AD"/>
    <w:rsid w:val="00334AB4"/>
    <w:rsid w:val="00334C75"/>
    <w:rsid w:val="00335233"/>
    <w:rsid w:val="00335572"/>
    <w:rsid w:val="00335BB4"/>
    <w:rsid w:val="00336467"/>
    <w:rsid w:val="0033711E"/>
    <w:rsid w:val="0033766A"/>
    <w:rsid w:val="00337CEB"/>
    <w:rsid w:val="00340068"/>
    <w:rsid w:val="0034082F"/>
    <w:rsid w:val="00340897"/>
    <w:rsid w:val="003409CD"/>
    <w:rsid w:val="00340D2A"/>
    <w:rsid w:val="00341238"/>
    <w:rsid w:val="00341258"/>
    <w:rsid w:val="003418DE"/>
    <w:rsid w:val="00341B46"/>
    <w:rsid w:val="00342209"/>
    <w:rsid w:val="003423BB"/>
    <w:rsid w:val="00342FE0"/>
    <w:rsid w:val="00343931"/>
    <w:rsid w:val="003439F4"/>
    <w:rsid w:val="003440DE"/>
    <w:rsid w:val="0034497B"/>
    <w:rsid w:val="00344B99"/>
    <w:rsid w:val="00344FB1"/>
    <w:rsid w:val="00345084"/>
    <w:rsid w:val="003453CA"/>
    <w:rsid w:val="00345ABC"/>
    <w:rsid w:val="00345D13"/>
    <w:rsid w:val="00345FDF"/>
    <w:rsid w:val="0034643B"/>
    <w:rsid w:val="003469FC"/>
    <w:rsid w:val="00346DAA"/>
    <w:rsid w:val="003473FE"/>
    <w:rsid w:val="00347FF9"/>
    <w:rsid w:val="00350E9A"/>
    <w:rsid w:val="0035145B"/>
    <w:rsid w:val="00351747"/>
    <w:rsid w:val="00351911"/>
    <w:rsid w:val="003525E0"/>
    <w:rsid w:val="0035267F"/>
    <w:rsid w:val="0035268F"/>
    <w:rsid w:val="0035299C"/>
    <w:rsid w:val="00352B80"/>
    <w:rsid w:val="00352DCC"/>
    <w:rsid w:val="00352ED8"/>
    <w:rsid w:val="00353BBB"/>
    <w:rsid w:val="00353BD3"/>
    <w:rsid w:val="00353C1C"/>
    <w:rsid w:val="00354019"/>
    <w:rsid w:val="00354169"/>
    <w:rsid w:val="0035423F"/>
    <w:rsid w:val="00354F70"/>
    <w:rsid w:val="003550C8"/>
    <w:rsid w:val="00356407"/>
    <w:rsid w:val="00356557"/>
    <w:rsid w:val="0035668A"/>
    <w:rsid w:val="00356D4D"/>
    <w:rsid w:val="00356FF5"/>
    <w:rsid w:val="00357277"/>
    <w:rsid w:val="00357872"/>
    <w:rsid w:val="00357AD8"/>
    <w:rsid w:val="00357F7C"/>
    <w:rsid w:val="00360055"/>
    <w:rsid w:val="003604EA"/>
    <w:rsid w:val="0036052E"/>
    <w:rsid w:val="00360BDD"/>
    <w:rsid w:val="00360C7A"/>
    <w:rsid w:val="003611E3"/>
    <w:rsid w:val="0036188C"/>
    <w:rsid w:val="003623DD"/>
    <w:rsid w:val="00362B09"/>
    <w:rsid w:val="00362F9C"/>
    <w:rsid w:val="00363A6C"/>
    <w:rsid w:val="003642FF"/>
    <w:rsid w:val="00364A73"/>
    <w:rsid w:val="00365367"/>
    <w:rsid w:val="00365404"/>
    <w:rsid w:val="003658E9"/>
    <w:rsid w:val="00365AEE"/>
    <w:rsid w:val="00366192"/>
    <w:rsid w:val="003667CA"/>
    <w:rsid w:val="003669F4"/>
    <w:rsid w:val="00366CA1"/>
    <w:rsid w:val="00366FA6"/>
    <w:rsid w:val="00367E02"/>
    <w:rsid w:val="0037047A"/>
    <w:rsid w:val="003714A3"/>
    <w:rsid w:val="00371DE9"/>
    <w:rsid w:val="00372069"/>
    <w:rsid w:val="00372149"/>
    <w:rsid w:val="00372667"/>
    <w:rsid w:val="0037272B"/>
    <w:rsid w:val="00372FDE"/>
    <w:rsid w:val="00373022"/>
    <w:rsid w:val="0037396B"/>
    <w:rsid w:val="00373987"/>
    <w:rsid w:val="00373AE8"/>
    <w:rsid w:val="00374BEE"/>
    <w:rsid w:val="00374FB1"/>
    <w:rsid w:val="0037509F"/>
    <w:rsid w:val="003751F5"/>
    <w:rsid w:val="003755E7"/>
    <w:rsid w:val="00375FBD"/>
    <w:rsid w:val="00376E4D"/>
    <w:rsid w:val="00376E81"/>
    <w:rsid w:val="00377350"/>
    <w:rsid w:val="00377923"/>
    <w:rsid w:val="00377CFE"/>
    <w:rsid w:val="00377D13"/>
    <w:rsid w:val="00377DB4"/>
    <w:rsid w:val="00377F87"/>
    <w:rsid w:val="00380795"/>
    <w:rsid w:val="00380B88"/>
    <w:rsid w:val="00380D8B"/>
    <w:rsid w:val="003810E0"/>
    <w:rsid w:val="0038153F"/>
    <w:rsid w:val="00381672"/>
    <w:rsid w:val="003816B0"/>
    <w:rsid w:val="003818ED"/>
    <w:rsid w:val="00382763"/>
    <w:rsid w:val="00383CFB"/>
    <w:rsid w:val="00383D48"/>
    <w:rsid w:val="00384372"/>
    <w:rsid w:val="0038449F"/>
    <w:rsid w:val="003848B0"/>
    <w:rsid w:val="00385222"/>
    <w:rsid w:val="003859FA"/>
    <w:rsid w:val="0038693D"/>
    <w:rsid w:val="00386CA4"/>
    <w:rsid w:val="00386E05"/>
    <w:rsid w:val="00386FFF"/>
    <w:rsid w:val="00387266"/>
    <w:rsid w:val="003872D3"/>
    <w:rsid w:val="00387815"/>
    <w:rsid w:val="00387828"/>
    <w:rsid w:val="00387E44"/>
    <w:rsid w:val="0039069F"/>
    <w:rsid w:val="0039076A"/>
    <w:rsid w:val="00390784"/>
    <w:rsid w:val="00390A13"/>
    <w:rsid w:val="00390F37"/>
    <w:rsid w:val="00391C8C"/>
    <w:rsid w:val="00391FC8"/>
    <w:rsid w:val="00392462"/>
    <w:rsid w:val="003935DB"/>
    <w:rsid w:val="00393AA2"/>
    <w:rsid w:val="00393EA3"/>
    <w:rsid w:val="00394008"/>
    <w:rsid w:val="003943BF"/>
    <w:rsid w:val="00394935"/>
    <w:rsid w:val="003949C9"/>
    <w:rsid w:val="00395BB5"/>
    <w:rsid w:val="00396381"/>
    <w:rsid w:val="003963CD"/>
    <w:rsid w:val="003974A8"/>
    <w:rsid w:val="00397A8C"/>
    <w:rsid w:val="00397ABE"/>
    <w:rsid w:val="00397D09"/>
    <w:rsid w:val="00397EFF"/>
    <w:rsid w:val="00397F36"/>
    <w:rsid w:val="003A024E"/>
    <w:rsid w:val="003A0904"/>
    <w:rsid w:val="003A129F"/>
    <w:rsid w:val="003A1D62"/>
    <w:rsid w:val="003A23CF"/>
    <w:rsid w:val="003A280C"/>
    <w:rsid w:val="003A2A0B"/>
    <w:rsid w:val="003A2F8D"/>
    <w:rsid w:val="003A300D"/>
    <w:rsid w:val="003A3166"/>
    <w:rsid w:val="003A4540"/>
    <w:rsid w:val="003A5A43"/>
    <w:rsid w:val="003A5B8A"/>
    <w:rsid w:val="003A609D"/>
    <w:rsid w:val="003A6930"/>
    <w:rsid w:val="003A6BDF"/>
    <w:rsid w:val="003A7147"/>
    <w:rsid w:val="003A7E77"/>
    <w:rsid w:val="003B0132"/>
    <w:rsid w:val="003B023A"/>
    <w:rsid w:val="003B02CB"/>
    <w:rsid w:val="003B0B3F"/>
    <w:rsid w:val="003B1D08"/>
    <w:rsid w:val="003B2448"/>
    <w:rsid w:val="003B2857"/>
    <w:rsid w:val="003B2A54"/>
    <w:rsid w:val="003B2CCB"/>
    <w:rsid w:val="003B3CCB"/>
    <w:rsid w:val="003B3F54"/>
    <w:rsid w:val="003B3FBE"/>
    <w:rsid w:val="003B4885"/>
    <w:rsid w:val="003B53EB"/>
    <w:rsid w:val="003B55EF"/>
    <w:rsid w:val="003B5A9B"/>
    <w:rsid w:val="003B5C0A"/>
    <w:rsid w:val="003B5DB5"/>
    <w:rsid w:val="003B5ED8"/>
    <w:rsid w:val="003B682D"/>
    <w:rsid w:val="003B74DC"/>
    <w:rsid w:val="003B79CE"/>
    <w:rsid w:val="003C05CB"/>
    <w:rsid w:val="003C080E"/>
    <w:rsid w:val="003C09B8"/>
    <w:rsid w:val="003C09FB"/>
    <w:rsid w:val="003C0DBE"/>
    <w:rsid w:val="003C1B0A"/>
    <w:rsid w:val="003C1B2A"/>
    <w:rsid w:val="003C201A"/>
    <w:rsid w:val="003C23B1"/>
    <w:rsid w:val="003C2BC8"/>
    <w:rsid w:val="003C30D0"/>
    <w:rsid w:val="003C3564"/>
    <w:rsid w:val="003C37F3"/>
    <w:rsid w:val="003C3BE0"/>
    <w:rsid w:val="003C3DED"/>
    <w:rsid w:val="003C41D2"/>
    <w:rsid w:val="003C4EC0"/>
    <w:rsid w:val="003C4F96"/>
    <w:rsid w:val="003C4F9C"/>
    <w:rsid w:val="003C5528"/>
    <w:rsid w:val="003C59FE"/>
    <w:rsid w:val="003C5CCF"/>
    <w:rsid w:val="003C69B8"/>
    <w:rsid w:val="003C6B4B"/>
    <w:rsid w:val="003D013B"/>
    <w:rsid w:val="003D0DC3"/>
    <w:rsid w:val="003D0EC1"/>
    <w:rsid w:val="003D11FB"/>
    <w:rsid w:val="003D1512"/>
    <w:rsid w:val="003D1552"/>
    <w:rsid w:val="003D1553"/>
    <w:rsid w:val="003D177B"/>
    <w:rsid w:val="003D18C7"/>
    <w:rsid w:val="003D1DF9"/>
    <w:rsid w:val="003D2082"/>
    <w:rsid w:val="003D2284"/>
    <w:rsid w:val="003D22E7"/>
    <w:rsid w:val="003D257D"/>
    <w:rsid w:val="003D29A1"/>
    <w:rsid w:val="003D2C72"/>
    <w:rsid w:val="003D2D32"/>
    <w:rsid w:val="003D2D95"/>
    <w:rsid w:val="003D2FB9"/>
    <w:rsid w:val="003D3016"/>
    <w:rsid w:val="003D30DE"/>
    <w:rsid w:val="003D3524"/>
    <w:rsid w:val="003D3CE1"/>
    <w:rsid w:val="003D3CF7"/>
    <w:rsid w:val="003D3D28"/>
    <w:rsid w:val="003D3F51"/>
    <w:rsid w:val="003D427B"/>
    <w:rsid w:val="003D43D3"/>
    <w:rsid w:val="003D4A18"/>
    <w:rsid w:val="003D4EAC"/>
    <w:rsid w:val="003D51F6"/>
    <w:rsid w:val="003D58D9"/>
    <w:rsid w:val="003D6254"/>
    <w:rsid w:val="003D6357"/>
    <w:rsid w:val="003D6365"/>
    <w:rsid w:val="003D6455"/>
    <w:rsid w:val="003D6997"/>
    <w:rsid w:val="003D6A23"/>
    <w:rsid w:val="003D713C"/>
    <w:rsid w:val="003E031C"/>
    <w:rsid w:val="003E0526"/>
    <w:rsid w:val="003E0AA3"/>
    <w:rsid w:val="003E0AFF"/>
    <w:rsid w:val="003E14F0"/>
    <w:rsid w:val="003E15B9"/>
    <w:rsid w:val="003E19D6"/>
    <w:rsid w:val="003E1A8E"/>
    <w:rsid w:val="003E1B6C"/>
    <w:rsid w:val="003E1ED7"/>
    <w:rsid w:val="003E22DA"/>
    <w:rsid w:val="003E259F"/>
    <w:rsid w:val="003E30E7"/>
    <w:rsid w:val="003E32C4"/>
    <w:rsid w:val="003E3FD3"/>
    <w:rsid w:val="003E4123"/>
    <w:rsid w:val="003E428C"/>
    <w:rsid w:val="003E4428"/>
    <w:rsid w:val="003E4759"/>
    <w:rsid w:val="003E4A57"/>
    <w:rsid w:val="003E4BD3"/>
    <w:rsid w:val="003E5422"/>
    <w:rsid w:val="003E5603"/>
    <w:rsid w:val="003E5817"/>
    <w:rsid w:val="003E5CAF"/>
    <w:rsid w:val="003E5DC2"/>
    <w:rsid w:val="003E5F07"/>
    <w:rsid w:val="003E6566"/>
    <w:rsid w:val="003E6876"/>
    <w:rsid w:val="003E6C6C"/>
    <w:rsid w:val="003E6ED4"/>
    <w:rsid w:val="003E6FC2"/>
    <w:rsid w:val="003E72F6"/>
    <w:rsid w:val="003E7346"/>
    <w:rsid w:val="003E74CB"/>
    <w:rsid w:val="003F0A28"/>
    <w:rsid w:val="003F0AEE"/>
    <w:rsid w:val="003F0CF0"/>
    <w:rsid w:val="003F0EE6"/>
    <w:rsid w:val="003F144C"/>
    <w:rsid w:val="003F1514"/>
    <w:rsid w:val="003F1E13"/>
    <w:rsid w:val="003F21C8"/>
    <w:rsid w:val="003F240B"/>
    <w:rsid w:val="003F24E8"/>
    <w:rsid w:val="003F266E"/>
    <w:rsid w:val="003F2725"/>
    <w:rsid w:val="003F2938"/>
    <w:rsid w:val="003F2C8A"/>
    <w:rsid w:val="003F381D"/>
    <w:rsid w:val="003F3C13"/>
    <w:rsid w:val="003F4068"/>
    <w:rsid w:val="003F412A"/>
    <w:rsid w:val="003F4586"/>
    <w:rsid w:val="003F49C3"/>
    <w:rsid w:val="003F4D38"/>
    <w:rsid w:val="003F4E1B"/>
    <w:rsid w:val="003F64D9"/>
    <w:rsid w:val="003F6DFF"/>
    <w:rsid w:val="003F76A8"/>
    <w:rsid w:val="003F7982"/>
    <w:rsid w:val="003F7E0B"/>
    <w:rsid w:val="004003E2"/>
    <w:rsid w:val="00400900"/>
    <w:rsid w:val="00400C1B"/>
    <w:rsid w:val="00400C32"/>
    <w:rsid w:val="00401097"/>
    <w:rsid w:val="00401503"/>
    <w:rsid w:val="004016D2"/>
    <w:rsid w:val="00401886"/>
    <w:rsid w:val="00401AE1"/>
    <w:rsid w:val="00401B18"/>
    <w:rsid w:val="00401DB8"/>
    <w:rsid w:val="00402642"/>
    <w:rsid w:val="004026D3"/>
    <w:rsid w:val="00402DE9"/>
    <w:rsid w:val="00403AE7"/>
    <w:rsid w:val="00404CA4"/>
    <w:rsid w:val="004055FA"/>
    <w:rsid w:val="00405E81"/>
    <w:rsid w:val="00405F82"/>
    <w:rsid w:val="00406340"/>
    <w:rsid w:val="00406972"/>
    <w:rsid w:val="00406EBE"/>
    <w:rsid w:val="00406F45"/>
    <w:rsid w:val="00407184"/>
    <w:rsid w:val="004077EA"/>
    <w:rsid w:val="00407936"/>
    <w:rsid w:val="00410202"/>
    <w:rsid w:val="00410EA5"/>
    <w:rsid w:val="0041143E"/>
    <w:rsid w:val="00411537"/>
    <w:rsid w:val="004124C8"/>
    <w:rsid w:val="00412B95"/>
    <w:rsid w:val="00412BA8"/>
    <w:rsid w:val="00413A56"/>
    <w:rsid w:val="00413C5D"/>
    <w:rsid w:val="00413F40"/>
    <w:rsid w:val="004144AB"/>
    <w:rsid w:val="0041461E"/>
    <w:rsid w:val="00415357"/>
    <w:rsid w:val="004153E5"/>
    <w:rsid w:val="00415C1D"/>
    <w:rsid w:val="00416C99"/>
    <w:rsid w:val="004173B4"/>
    <w:rsid w:val="0041745D"/>
    <w:rsid w:val="00417F87"/>
    <w:rsid w:val="00420189"/>
    <w:rsid w:val="00420376"/>
    <w:rsid w:val="004206B2"/>
    <w:rsid w:val="004209AC"/>
    <w:rsid w:val="004211D1"/>
    <w:rsid w:val="0042160C"/>
    <w:rsid w:val="00421912"/>
    <w:rsid w:val="0042199C"/>
    <w:rsid w:val="004219BB"/>
    <w:rsid w:val="00422709"/>
    <w:rsid w:val="004228C8"/>
    <w:rsid w:val="00422B2D"/>
    <w:rsid w:val="0042328D"/>
    <w:rsid w:val="00423707"/>
    <w:rsid w:val="0042371C"/>
    <w:rsid w:val="00423991"/>
    <w:rsid w:val="00423B58"/>
    <w:rsid w:val="00423C6D"/>
    <w:rsid w:val="00423F8B"/>
    <w:rsid w:val="004240E9"/>
    <w:rsid w:val="0042430D"/>
    <w:rsid w:val="00424C27"/>
    <w:rsid w:val="00424CA6"/>
    <w:rsid w:val="00424CDB"/>
    <w:rsid w:val="004252BD"/>
    <w:rsid w:val="00426508"/>
    <w:rsid w:val="004268C3"/>
    <w:rsid w:val="00427424"/>
    <w:rsid w:val="004276AB"/>
    <w:rsid w:val="00427BA0"/>
    <w:rsid w:val="00427D64"/>
    <w:rsid w:val="00430222"/>
    <w:rsid w:val="004305B5"/>
    <w:rsid w:val="00430CD5"/>
    <w:rsid w:val="00430D81"/>
    <w:rsid w:val="0043109B"/>
    <w:rsid w:val="00431D91"/>
    <w:rsid w:val="00431E9E"/>
    <w:rsid w:val="004323BC"/>
    <w:rsid w:val="004327BB"/>
    <w:rsid w:val="00432FA0"/>
    <w:rsid w:val="00433001"/>
    <w:rsid w:val="0043382E"/>
    <w:rsid w:val="00433A09"/>
    <w:rsid w:val="00434014"/>
    <w:rsid w:val="004343BE"/>
    <w:rsid w:val="0043468E"/>
    <w:rsid w:val="00434E60"/>
    <w:rsid w:val="004351EF"/>
    <w:rsid w:val="0043521B"/>
    <w:rsid w:val="0043537B"/>
    <w:rsid w:val="004355BC"/>
    <w:rsid w:val="0043561D"/>
    <w:rsid w:val="00435C1D"/>
    <w:rsid w:val="00435FBC"/>
    <w:rsid w:val="0043686B"/>
    <w:rsid w:val="00436965"/>
    <w:rsid w:val="00436C44"/>
    <w:rsid w:val="00436F9C"/>
    <w:rsid w:val="0043789C"/>
    <w:rsid w:val="00437CE3"/>
    <w:rsid w:val="004408AF"/>
    <w:rsid w:val="004408D9"/>
    <w:rsid w:val="00440A64"/>
    <w:rsid w:val="00440A9B"/>
    <w:rsid w:val="00440ECF"/>
    <w:rsid w:val="00440F7B"/>
    <w:rsid w:val="00441120"/>
    <w:rsid w:val="0044127C"/>
    <w:rsid w:val="0044150A"/>
    <w:rsid w:val="004416E8"/>
    <w:rsid w:val="00441A1C"/>
    <w:rsid w:val="00441ABB"/>
    <w:rsid w:val="00441C43"/>
    <w:rsid w:val="004421AD"/>
    <w:rsid w:val="00442798"/>
    <w:rsid w:val="00442D3D"/>
    <w:rsid w:val="00442F4A"/>
    <w:rsid w:val="0044310E"/>
    <w:rsid w:val="0044354E"/>
    <w:rsid w:val="0044363F"/>
    <w:rsid w:val="00443C53"/>
    <w:rsid w:val="00443F09"/>
    <w:rsid w:val="004441D5"/>
    <w:rsid w:val="0044430B"/>
    <w:rsid w:val="004445CA"/>
    <w:rsid w:val="00444615"/>
    <w:rsid w:val="00444806"/>
    <w:rsid w:val="0044485C"/>
    <w:rsid w:val="004449AC"/>
    <w:rsid w:val="004449AF"/>
    <w:rsid w:val="00444A32"/>
    <w:rsid w:val="0044508E"/>
    <w:rsid w:val="004453E7"/>
    <w:rsid w:val="00445BD2"/>
    <w:rsid w:val="00446516"/>
    <w:rsid w:val="0044655F"/>
    <w:rsid w:val="0044674A"/>
    <w:rsid w:val="00446944"/>
    <w:rsid w:val="00446C45"/>
    <w:rsid w:val="00447C57"/>
    <w:rsid w:val="00450045"/>
    <w:rsid w:val="0045043A"/>
    <w:rsid w:val="00450E36"/>
    <w:rsid w:val="00450E9A"/>
    <w:rsid w:val="00451177"/>
    <w:rsid w:val="0045140F"/>
    <w:rsid w:val="00451810"/>
    <w:rsid w:val="00451A3D"/>
    <w:rsid w:val="00452539"/>
    <w:rsid w:val="00452966"/>
    <w:rsid w:val="0045297A"/>
    <w:rsid w:val="00452AEB"/>
    <w:rsid w:val="00452B7D"/>
    <w:rsid w:val="00452C09"/>
    <w:rsid w:val="00452E79"/>
    <w:rsid w:val="00452FE5"/>
    <w:rsid w:val="0045309B"/>
    <w:rsid w:val="00454468"/>
    <w:rsid w:val="004546F1"/>
    <w:rsid w:val="004547C1"/>
    <w:rsid w:val="00454D50"/>
    <w:rsid w:val="004550A1"/>
    <w:rsid w:val="0045520E"/>
    <w:rsid w:val="00455431"/>
    <w:rsid w:val="00455D4C"/>
    <w:rsid w:val="00455F51"/>
    <w:rsid w:val="00456008"/>
    <w:rsid w:val="0045606F"/>
    <w:rsid w:val="004560D9"/>
    <w:rsid w:val="00456561"/>
    <w:rsid w:val="00456F1B"/>
    <w:rsid w:val="00457042"/>
    <w:rsid w:val="0045710E"/>
    <w:rsid w:val="004576F4"/>
    <w:rsid w:val="00457B13"/>
    <w:rsid w:val="00460067"/>
    <w:rsid w:val="0046011D"/>
    <w:rsid w:val="004601D1"/>
    <w:rsid w:val="0046047B"/>
    <w:rsid w:val="0046049A"/>
    <w:rsid w:val="00460778"/>
    <w:rsid w:val="004608D8"/>
    <w:rsid w:val="00460ED1"/>
    <w:rsid w:val="00460F83"/>
    <w:rsid w:val="004618F8"/>
    <w:rsid w:val="0046203D"/>
    <w:rsid w:val="004622BB"/>
    <w:rsid w:val="004625BA"/>
    <w:rsid w:val="00462831"/>
    <w:rsid w:val="004628F4"/>
    <w:rsid w:val="0046295D"/>
    <w:rsid w:val="00462AC2"/>
    <w:rsid w:val="00463D24"/>
    <w:rsid w:val="00463E68"/>
    <w:rsid w:val="004644E1"/>
    <w:rsid w:val="00464605"/>
    <w:rsid w:val="00464CD4"/>
    <w:rsid w:val="00465092"/>
    <w:rsid w:val="004652D9"/>
    <w:rsid w:val="004657D7"/>
    <w:rsid w:val="00466A94"/>
    <w:rsid w:val="00466B24"/>
    <w:rsid w:val="00466CE9"/>
    <w:rsid w:val="0046720C"/>
    <w:rsid w:val="004677A4"/>
    <w:rsid w:val="004677BD"/>
    <w:rsid w:val="0046787C"/>
    <w:rsid w:val="00467D1B"/>
    <w:rsid w:val="00467D57"/>
    <w:rsid w:val="00470713"/>
    <w:rsid w:val="00470A5C"/>
    <w:rsid w:val="0047138A"/>
    <w:rsid w:val="004713CB"/>
    <w:rsid w:val="00471E32"/>
    <w:rsid w:val="004723B6"/>
    <w:rsid w:val="00472582"/>
    <w:rsid w:val="00472756"/>
    <w:rsid w:val="0047287E"/>
    <w:rsid w:val="00472FA4"/>
    <w:rsid w:val="00473578"/>
    <w:rsid w:val="004739F0"/>
    <w:rsid w:val="00473D6C"/>
    <w:rsid w:val="00473F87"/>
    <w:rsid w:val="004740D1"/>
    <w:rsid w:val="004751F0"/>
    <w:rsid w:val="00475642"/>
    <w:rsid w:val="00475E06"/>
    <w:rsid w:val="00476187"/>
    <w:rsid w:val="00476F56"/>
    <w:rsid w:val="00477279"/>
    <w:rsid w:val="00477547"/>
    <w:rsid w:val="00477C2B"/>
    <w:rsid w:val="00477E6F"/>
    <w:rsid w:val="00480760"/>
    <w:rsid w:val="00480832"/>
    <w:rsid w:val="004808CF"/>
    <w:rsid w:val="00480ECF"/>
    <w:rsid w:val="00480F5D"/>
    <w:rsid w:val="00481344"/>
    <w:rsid w:val="004816E7"/>
    <w:rsid w:val="00481929"/>
    <w:rsid w:val="00481CC3"/>
    <w:rsid w:val="004820B3"/>
    <w:rsid w:val="00482771"/>
    <w:rsid w:val="004829A6"/>
    <w:rsid w:val="00482B76"/>
    <w:rsid w:val="00482C20"/>
    <w:rsid w:val="00483432"/>
    <w:rsid w:val="00483620"/>
    <w:rsid w:val="00483D07"/>
    <w:rsid w:val="00483EF5"/>
    <w:rsid w:val="0048450E"/>
    <w:rsid w:val="00484920"/>
    <w:rsid w:val="00485172"/>
    <w:rsid w:val="004852BD"/>
    <w:rsid w:val="004853B5"/>
    <w:rsid w:val="00485467"/>
    <w:rsid w:val="00485591"/>
    <w:rsid w:val="00485925"/>
    <w:rsid w:val="004873C7"/>
    <w:rsid w:val="00487F85"/>
    <w:rsid w:val="00487FE9"/>
    <w:rsid w:val="00490A77"/>
    <w:rsid w:val="00491013"/>
    <w:rsid w:val="0049122B"/>
    <w:rsid w:val="00491B5D"/>
    <w:rsid w:val="0049223F"/>
    <w:rsid w:val="00492538"/>
    <w:rsid w:val="00492554"/>
    <w:rsid w:val="0049395C"/>
    <w:rsid w:val="00493A87"/>
    <w:rsid w:val="004941BC"/>
    <w:rsid w:val="00494463"/>
    <w:rsid w:val="00495048"/>
    <w:rsid w:val="00495152"/>
    <w:rsid w:val="004952EE"/>
    <w:rsid w:val="004965AE"/>
    <w:rsid w:val="004969D9"/>
    <w:rsid w:val="004A0919"/>
    <w:rsid w:val="004A0AEF"/>
    <w:rsid w:val="004A0FDB"/>
    <w:rsid w:val="004A1016"/>
    <w:rsid w:val="004A1357"/>
    <w:rsid w:val="004A1478"/>
    <w:rsid w:val="004A1DF2"/>
    <w:rsid w:val="004A20FE"/>
    <w:rsid w:val="004A23F8"/>
    <w:rsid w:val="004A2D6E"/>
    <w:rsid w:val="004A40AA"/>
    <w:rsid w:val="004A430E"/>
    <w:rsid w:val="004A4367"/>
    <w:rsid w:val="004A4446"/>
    <w:rsid w:val="004A475C"/>
    <w:rsid w:val="004A47FF"/>
    <w:rsid w:val="004A495C"/>
    <w:rsid w:val="004A497D"/>
    <w:rsid w:val="004A564B"/>
    <w:rsid w:val="004A5C0B"/>
    <w:rsid w:val="004A5F96"/>
    <w:rsid w:val="004A6652"/>
    <w:rsid w:val="004A6961"/>
    <w:rsid w:val="004A6A67"/>
    <w:rsid w:val="004A6B16"/>
    <w:rsid w:val="004A70DF"/>
    <w:rsid w:val="004A71B5"/>
    <w:rsid w:val="004A73D3"/>
    <w:rsid w:val="004A7FC3"/>
    <w:rsid w:val="004B025A"/>
    <w:rsid w:val="004B08AE"/>
    <w:rsid w:val="004B134F"/>
    <w:rsid w:val="004B1399"/>
    <w:rsid w:val="004B149C"/>
    <w:rsid w:val="004B1D92"/>
    <w:rsid w:val="004B1F07"/>
    <w:rsid w:val="004B2A2F"/>
    <w:rsid w:val="004B2CE9"/>
    <w:rsid w:val="004B2D5E"/>
    <w:rsid w:val="004B2E99"/>
    <w:rsid w:val="004B310A"/>
    <w:rsid w:val="004B376F"/>
    <w:rsid w:val="004B3F84"/>
    <w:rsid w:val="004B474D"/>
    <w:rsid w:val="004B4CBD"/>
    <w:rsid w:val="004B4D04"/>
    <w:rsid w:val="004B51F4"/>
    <w:rsid w:val="004B538B"/>
    <w:rsid w:val="004B5860"/>
    <w:rsid w:val="004B6271"/>
    <w:rsid w:val="004B631C"/>
    <w:rsid w:val="004B6413"/>
    <w:rsid w:val="004B651B"/>
    <w:rsid w:val="004B6B67"/>
    <w:rsid w:val="004B6B80"/>
    <w:rsid w:val="004B6BAF"/>
    <w:rsid w:val="004B6BD2"/>
    <w:rsid w:val="004B6C6E"/>
    <w:rsid w:val="004B6D41"/>
    <w:rsid w:val="004B701F"/>
    <w:rsid w:val="004B7390"/>
    <w:rsid w:val="004B7967"/>
    <w:rsid w:val="004B7DA2"/>
    <w:rsid w:val="004C06F9"/>
    <w:rsid w:val="004C093B"/>
    <w:rsid w:val="004C0992"/>
    <w:rsid w:val="004C0BAA"/>
    <w:rsid w:val="004C0C45"/>
    <w:rsid w:val="004C15F2"/>
    <w:rsid w:val="004C1EC3"/>
    <w:rsid w:val="004C2457"/>
    <w:rsid w:val="004C284C"/>
    <w:rsid w:val="004C28FE"/>
    <w:rsid w:val="004C2BBB"/>
    <w:rsid w:val="004C362B"/>
    <w:rsid w:val="004C4101"/>
    <w:rsid w:val="004C445C"/>
    <w:rsid w:val="004C4CD6"/>
    <w:rsid w:val="004C518B"/>
    <w:rsid w:val="004C5356"/>
    <w:rsid w:val="004C55F8"/>
    <w:rsid w:val="004C5695"/>
    <w:rsid w:val="004C5963"/>
    <w:rsid w:val="004C5B63"/>
    <w:rsid w:val="004C61F8"/>
    <w:rsid w:val="004C6638"/>
    <w:rsid w:val="004C69CB"/>
    <w:rsid w:val="004C6C8A"/>
    <w:rsid w:val="004C730A"/>
    <w:rsid w:val="004C74CC"/>
    <w:rsid w:val="004C792A"/>
    <w:rsid w:val="004C7972"/>
    <w:rsid w:val="004C7CAF"/>
    <w:rsid w:val="004C7D75"/>
    <w:rsid w:val="004C7F72"/>
    <w:rsid w:val="004D003F"/>
    <w:rsid w:val="004D0340"/>
    <w:rsid w:val="004D05B3"/>
    <w:rsid w:val="004D07DF"/>
    <w:rsid w:val="004D0B4A"/>
    <w:rsid w:val="004D1318"/>
    <w:rsid w:val="004D14F3"/>
    <w:rsid w:val="004D164E"/>
    <w:rsid w:val="004D22F9"/>
    <w:rsid w:val="004D25DB"/>
    <w:rsid w:val="004D2694"/>
    <w:rsid w:val="004D2F9B"/>
    <w:rsid w:val="004D3477"/>
    <w:rsid w:val="004D39E2"/>
    <w:rsid w:val="004D3F94"/>
    <w:rsid w:val="004D4245"/>
    <w:rsid w:val="004D4361"/>
    <w:rsid w:val="004D458B"/>
    <w:rsid w:val="004D5451"/>
    <w:rsid w:val="004D5B05"/>
    <w:rsid w:val="004D5D7F"/>
    <w:rsid w:val="004D5EC7"/>
    <w:rsid w:val="004D6832"/>
    <w:rsid w:val="004D6A51"/>
    <w:rsid w:val="004D70AE"/>
    <w:rsid w:val="004D759B"/>
    <w:rsid w:val="004D7B8A"/>
    <w:rsid w:val="004E04B1"/>
    <w:rsid w:val="004E0830"/>
    <w:rsid w:val="004E08EA"/>
    <w:rsid w:val="004E1000"/>
    <w:rsid w:val="004E1060"/>
    <w:rsid w:val="004E16A3"/>
    <w:rsid w:val="004E1D19"/>
    <w:rsid w:val="004E296A"/>
    <w:rsid w:val="004E3360"/>
    <w:rsid w:val="004E452F"/>
    <w:rsid w:val="004E4915"/>
    <w:rsid w:val="004E4991"/>
    <w:rsid w:val="004E4B3B"/>
    <w:rsid w:val="004E5490"/>
    <w:rsid w:val="004E56B2"/>
    <w:rsid w:val="004E57C2"/>
    <w:rsid w:val="004E6588"/>
    <w:rsid w:val="004E6A68"/>
    <w:rsid w:val="004E72D1"/>
    <w:rsid w:val="004E756F"/>
    <w:rsid w:val="004E7D4D"/>
    <w:rsid w:val="004F05DE"/>
    <w:rsid w:val="004F0662"/>
    <w:rsid w:val="004F066E"/>
    <w:rsid w:val="004F0835"/>
    <w:rsid w:val="004F090A"/>
    <w:rsid w:val="004F0B18"/>
    <w:rsid w:val="004F0C4D"/>
    <w:rsid w:val="004F155E"/>
    <w:rsid w:val="004F18CF"/>
    <w:rsid w:val="004F1FA4"/>
    <w:rsid w:val="004F26F0"/>
    <w:rsid w:val="004F2782"/>
    <w:rsid w:val="004F284D"/>
    <w:rsid w:val="004F29E0"/>
    <w:rsid w:val="004F32D6"/>
    <w:rsid w:val="004F48A9"/>
    <w:rsid w:val="004F4B3A"/>
    <w:rsid w:val="004F5180"/>
    <w:rsid w:val="004F5331"/>
    <w:rsid w:val="004F587D"/>
    <w:rsid w:val="004F5A12"/>
    <w:rsid w:val="004F5F61"/>
    <w:rsid w:val="004F6558"/>
    <w:rsid w:val="004F65D5"/>
    <w:rsid w:val="004F7BE6"/>
    <w:rsid w:val="005006EA"/>
    <w:rsid w:val="00500752"/>
    <w:rsid w:val="00500A31"/>
    <w:rsid w:val="00500A48"/>
    <w:rsid w:val="00500C8B"/>
    <w:rsid w:val="00500D3E"/>
    <w:rsid w:val="00501A6B"/>
    <w:rsid w:val="00502117"/>
    <w:rsid w:val="00502D7E"/>
    <w:rsid w:val="005035D9"/>
    <w:rsid w:val="00503A40"/>
    <w:rsid w:val="00503E81"/>
    <w:rsid w:val="00503F20"/>
    <w:rsid w:val="00504C7D"/>
    <w:rsid w:val="00505173"/>
    <w:rsid w:val="005058C0"/>
    <w:rsid w:val="00505F0D"/>
    <w:rsid w:val="005069EE"/>
    <w:rsid w:val="00506ED1"/>
    <w:rsid w:val="005071AB"/>
    <w:rsid w:val="005077DE"/>
    <w:rsid w:val="005079C4"/>
    <w:rsid w:val="00507DAC"/>
    <w:rsid w:val="00507E16"/>
    <w:rsid w:val="00507E8E"/>
    <w:rsid w:val="005104AD"/>
    <w:rsid w:val="00510766"/>
    <w:rsid w:val="00511154"/>
    <w:rsid w:val="0051197E"/>
    <w:rsid w:val="00511B66"/>
    <w:rsid w:val="00512551"/>
    <w:rsid w:val="00512716"/>
    <w:rsid w:val="0051280B"/>
    <w:rsid w:val="00513238"/>
    <w:rsid w:val="005132A4"/>
    <w:rsid w:val="00513414"/>
    <w:rsid w:val="005136A5"/>
    <w:rsid w:val="00513786"/>
    <w:rsid w:val="0051414C"/>
    <w:rsid w:val="00514541"/>
    <w:rsid w:val="005147AE"/>
    <w:rsid w:val="00514E37"/>
    <w:rsid w:val="00514ED5"/>
    <w:rsid w:val="005153DB"/>
    <w:rsid w:val="00515632"/>
    <w:rsid w:val="00515A4F"/>
    <w:rsid w:val="00515AB5"/>
    <w:rsid w:val="00515C21"/>
    <w:rsid w:val="005160AC"/>
    <w:rsid w:val="00516345"/>
    <w:rsid w:val="005165B4"/>
    <w:rsid w:val="00516B1C"/>
    <w:rsid w:val="005172E2"/>
    <w:rsid w:val="00517B8E"/>
    <w:rsid w:val="00517C6B"/>
    <w:rsid w:val="00517CD4"/>
    <w:rsid w:val="00517E8C"/>
    <w:rsid w:val="0052008E"/>
    <w:rsid w:val="005207E1"/>
    <w:rsid w:val="00520BE9"/>
    <w:rsid w:val="00520BFE"/>
    <w:rsid w:val="00520C83"/>
    <w:rsid w:val="0052121A"/>
    <w:rsid w:val="00521725"/>
    <w:rsid w:val="00521D3F"/>
    <w:rsid w:val="00521F41"/>
    <w:rsid w:val="0052218E"/>
    <w:rsid w:val="00522911"/>
    <w:rsid w:val="00522A49"/>
    <w:rsid w:val="00522B6B"/>
    <w:rsid w:val="00522C04"/>
    <w:rsid w:val="00522E0F"/>
    <w:rsid w:val="0052321E"/>
    <w:rsid w:val="00523373"/>
    <w:rsid w:val="005235CD"/>
    <w:rsid w:val="00523BA9"/>
    <w:rsid w:val="00523CAB"/>
    <w:rsid w:val="00523F28"/>
    <w:rsid w:val="0052413E"/>
    <w:rsid w:val="00524416"/>
    <w:rsid w:val="005249CB"/>
    <w:rsid w:val="00524A1A"/>
    <w:rsid w:val="00524CA2"/>
    <w:rsid w:val="00524D56"/>
    <w:rsid w:val="00524EDA"/>
    <w:rsid w:val="00524FFF"/>
    <w:rsid w:val="00525D1E"/>
    <w:rsid w:val="00526213"/>
    <w:rsid w:val="0052640A"/>
    <w:rsid w:val="005264E9"/>
    <w:rsid w:val="00526615"/>
    <w:rsid w:val="00527048"/>
    <w:rsid w:val="0052707F"/>
    <w:rsid w:val="0052752D"/>
    <w:rsid w:val="005278EA"/>
    <w:rsid w:val="00527A05"/>
    <w:rsid w:val="00527A61"/>
    <w:rsid w:val="0053025E"/>
    <w:rsid w:val="005307B7"/>
    <w:rsid w:val="00530915"/>
    <w:rsid w:val="00530B8B"/>
    <w:rsid w:val="00530E29"/>
    <w:rsid w:val="00530F1D"/>
    <w:rsid w:val="00530FA0"/>
    <w:rsid w:val="0053194C"/>
    <w:rsid w:val="005319C8"/>
    <w:rsid w:val="00531AC3"/>
    <w:rsid w:val="00531CBA"/>
    <w:rsid w:val="00531D65"/>
    <w:rsid w:val="00532395"/>
    <w:rsid w:val="00532996"/>
    <w:rsid w:val="00532A9D"/>
    <w:rsid w:val="00532ECB"/>
    <w:rsid w:val="0053339A"/>
    <w:rsid w:val="00533905"/>
    <w:rsid w:val="00534962"/>
    <w:rsid w:val="00534B6B"/>
    <w:rsid w:val="005350D8"/>
    <w:rsid w:val="00535192"/>
    <w:rsid w:val="00535625"/>
    <w:rsid w:val="005356B9"/>
    <w:rsid w:val="00535D58"/>
    <w:rsid w:val="005361AE"/>
    <w:rsid w:val="00536237"/>
    <w:rsid w:val="0053694F"/>
    <w:rsid w:val="00536A62"/>
    <w:rsid w:val="00536B10"/>
    <w:rsid w:val="00536D70"/>
    <w:rsid w:val="0053703A"/>
    <w:rsid w:val="00537052"/>
    <w:rsid w:val="00537487"/>
    <w:rsid w:val="00537548"/>
    <w:rsid w:val="00540529"/>
    <w:rsid w:val="0054065A"/>
    <w:rsid w:val="005409ED"/>
    <w:rsid w:val="00540ABB"/>
    <w:rsid w:val="00540C02"/>
    <w:rsid w:val="00540CA1"/>
    <w:rsid w:val="00540DB4"/>
    <w:rsid w:val="00540E40"/>
    <w:rsid w:val="00540F85"/>
    <w:rsid w:val="00542004"/>
    <w:rsid w:val="00542822"/>
    <w:rsid w:val="00542A01"/>
    <w:rsid w:val="00542E30"/>
    <w:rsid w:val="00542FEA"/>
    <w:rsid w:val="00543AB9"/>
    <w:rsid w:val="005440D8"/>
    <w:rsid w:val="005443A2"/>
    <w:rsid w:val="0054452E"/>
    <w:rsid w:val="00544B0C"/>
    <w:rsid w:val="0054516C"/>
    <w:rsid w:val="00545296"/>
    <w:rsid w:val="005452D9"/>
    <w:rsid w:val="0054532A"/>
    <w:rsid w:val="005456D5"/>
    <w:rsid w:val="00545C71"/>
    <w:rsid w:val="00545CFF"/>
    <w:rsid w:val="005460DF"/>
    <w:rsid w:val="00546182"/>
    <w:rsid w:val="0054658A"/>
    <w:rsid w:val="005466B9"/>
    <w:rsid w:val="00546870"/>
    <w:rsid w:val="005468BA"/>
    <w:rsid w:val="00546BB4"/>
    <w:rsid w:val="00546C5F"/>
    <w:rsid w:val="00546DE9"/>
    <w:rsid w:val="00546F6B"/>
    <w:rsid w:val="00547595"/>
    <w:rsid w:val="00547EFD"/>
    <w:rsid w:val="00550054"/>
    <w:rsid w:val="0055060E"/>
    <w:rsid w:val="00550989"/>
    <w:rsid w:val="00550C77"/>
    <w:rsid w:val="00550CB5"/>
    <w:rsid w:val="00550F4E"/>
    <w:rsid w:val="005510EB"/>
    <w:rsid w:val="00551134"/>
    <w:rsid w:val="005515E5"/>
    <w:rsid w:val="005521D7"/>
    <w:rsid w:val="00552A54"/>
    <w:rsid w:val="00552ABA"/>
    <w:rsid w:val="00552FCF"/>
    <w:rsid w:val="00553340"/>
    <w:rsid w:val="00553AA8"/>
    <w:rsid w:val="00553C7A"/>
    <w:rsid w:val="00553E24"/>
    <w:rsid w:val="00553E8D"/>
    <w:rsid w:val="00554256"/>
    <w:rsid w:val="005546DF"/>
    <w:rsid w:val="005548B3"/>
    <w:rsid w:val="005548CB"/>
    <w:rsid w:val="00554BF1"/>
    <w:rsid w:val="00554DE4"/>
    <w:rsid w:val="005553EB"/>
    <w:rsid w:val="00555A90"/>
    <w:rsid w:val="00555E79"/>
    <w:rsid w:val="00556286"/>
    <w:rsid w:val="005565C3"/>
    <w:rsid w:val="00556617"/>
    <w:rsid w:val="00556A13"/>
    <w:rsid w:val="00556D6E"/>
    <w:rsid w:val="00556D94"/>
    <w:rsid w:val="00556F14"/>
    <w:rsid w:val="00557A13"/>
    <w:rsid w:val="00557FC2"/>
    <w:rsid w:val="005609D1"/>
    <w:rsid w:val="00560A9F"/>
    <w:rsid w:val="005615F0"/>
    <w:rsid w:val="00561648"/>
    <w:rsid w:val="00561A3C"/>
    <w:rsid w:val="00561D89"/>
    <w:rsid w:val="0056227F"/>
    <w:rsid w:val="00562552"/>
    <w:rsid w:val="00562584"/>
    <w:rsid w:val="005625D6"/>
    <w:rsid w:val="0056273D"/>
    <w:rsid w:val="0056274E"/>
    <w:rsid w:val="005629F7"/>
    <w:rsid w:val="00562BFB"/>
    <w:rsid w:val="00562CF7"/>
    <w:rsid w:val="00562F1F"/>
    <w:rsid w:val="00562FC0"/>
    <w:rsid w:val="005631A8"/>
    <w:rsid w:val="00563E8B"/>
    <w:rsid w:val="005649D3"/>
    <w:rsid w:val="005650C5"/>
    <w:rsid w:val="00565338"/>
    <w:rsid w:val="0056597A"/>
    <w:rsid w:val="00565CA7"/>
    <w:rsid w:val="0056657C"/>
    <w:rsid w:val="00566D92"/>
    <w:rsid w:val="005673C1"/>
    <w:rsid w:val="00567C29"/>
    <w:rsid w:val="00567CEF"/>
    <w:rsid w:val="00567DF8"/>
    <w:rsid w:val="00567F35"/>
    <w:rsid w:val="0057015B"/>
    <w:rsid w:val="0057120A"/>
    <w:rsid w:val="00571CC2"/>
    <w:rsid w:val="0057216E"/>
    <w:rsid w:val="0057257D"/>
    <w:rsid w:val="00572904"/>
    <w:rsid w:val="00572924"/>
    <w:rsid w:val="0057295A"/>
    <w:rsid w:val="0057379B"/>
    <w:rsid w:val="00573A62"/>
    <w:rsid w:val="00574247"/>
    <w:rsid w:val="00574F77"/>
    <w:rsid w:val="005768D1"/>
    <w:rsid w:val="00576967"/>
    <w:rsid w:val="00577909"/>
    <w:rsid w:val="00577F48"/>
    <w:rsid w:val="0058011E"/>
    <w:rsid w:val="005807C3"/>
    <w:rsid w:val="00580A6F"/>
    <w:rsid w:val="00581299"/>
    <w:rsid w:val="00581A38"/>
    <w:rsid w:val="00581AC8"/>
    <w:rsid w:val="00581FDE"/>
    <w:rsid w:val="00582C9B"/>
    <w:rsid w:val="00582DED"/>
    <w:rsid w:val="00582E3E"/>
    <w:rsid w:val="00582F38"/>
    <w:rsid w:val="00583344"/>
    <w:rsid w:val="005835BF"/>
    <w:rsid w:val="00584586"/>
    <w:rsid w:val="00584C6E"/>
    <w:rsid w:val="00584CE7"/>
    <w:rsid w:val="00584E0B"/>
    <w:rsid w:val="005854A1"/>
    <w:rsid w:val="005854C6"/>
    <w:rsid w:val="00586305"/>
    <w:rsid w:val="00586597"/>
    <w:rsid w:val="00586711"/>
    <w:rsid w:val="00586849"/>
    <w:rsid w:val="00586F0C"/>
    <w:rsid w:val="0058703F"/>
    <w:rsid w:val="00587139"/>
    <w:rsid w:val="00587154"/>
    <w:rsid w:val="00587179"/>
    <w:rsid w:val="005871A0"/>
    <w:rsid w:val="005872E8"/>
    <w:rsid w:val="00587C9A"/>
    <w:rsid w:val="005906A6"/>
    <w:rsid w:val="00590B51"/>
    <w:rsid w:val="00590D98"/>
    <w:rsid w:val="005911CE"/>
    <w:rsid w:val="00591205"/>
    <w:rsid w:val="00591DA3"/>
    <w:rsid w:val="0059207C"/>
    <w:rsid w:val="005922A7"/>
    <w:rsid w:val="00592B7A"/>
    <w:rsid w:val="00592C64"/>
    <w:rsid w:val="00593942"/>
    <w:rsid w:val="00593BDE"/>
    <w:rsid w:val="0059402B"/>
    <w:rsid w:val="00594111"/>
    <w:rsid w:val="00594534"/>
    <w:rsid w:val="00594AB6"/>
    <w:rsid w:val="00594AC6"/>
    <w:rsid w:val="00595285"/>
    <w:rsid w:val="005952B2"/>
    <w:rsid w:val="005959FB"/>
    <w:rsid w:val="00595C54"/>
    <w:rsid w:val="00595F1E"/>
    <w:rsid w:val="0059668B"/>
    <w:rsid w:val="00596863"/>
    <w:rsid w:val="00596B8D"/>
    <w:rsid w:val="00596C96"/>
    <w:rsid w:val="005974D9"/>
    <w:rsid w:val="005A07C8"/>
    <w:rsid w:val="005A094A"/>
    <w:rsid w:val="005A0B86"/>
    <w:rsid w:val="005A0C27"/>
    <w:rsid w:val="005A0D1A"/>
    <w:rsid w:val="005A172E"/>
    <w:rsid w:val="005A1B7E"/>
    <w:rsid w:val="005A20E9"/>
    <w:rsid w:val="005A27EB"/>
    <w:rsid w:val="005A2A14"/>
    <w:rsid w:val="005A2A4F"/>
    <w:rsid w:val="005A301E"/>
    <w:rsid w:val="005A3463"/>
    <w:rsid w:val="005A4054"/>
    <w:rsid w:val="005A405E"/>
    <w:rsid w:val="005A4454"/>
    <w:rsid w:val="005A44A0"/>
    <w:rsid w:val="005A46D2"/>
    <w:rsid w:val="005A50BF"/>
    <w:rsid w:val="005A5BE9"/>
    <w:rsid w:val="005A65B2"/>
    <w:rsid w:val="005A6F75"/>
    <w:rsid w:val="005A7501"/>
    <w:rsid w:val="005A7850"/>
    <w:rsid w:val="005A7BA6"/>
    <w:rsid w:val="005B0986"/>
    <w:rsid w:val="005B1001"/>
    <w:rsid w:val="005B15D7"/>
    <w:rsid w:val="005B1786"/>
    <w:rsid w:val="005B1984"/>
    <w:rsid w:val="005B19B9"/>
    <w:rsid w:val="005B1FF7"/>
    <w:rsid w:val="005B205D"/>
    <w:rsid w:val="005B2693"/>
    <w:rsid w:val="005B26D3"/>
    <w:rsid w:val="005B271C"/>
    <w:rsid w:val="005B273A"/>
    <w:rsid w:val="005B2998"/>
    <w:rsid w:val="005B3883"/>
    <w:rsid w:val="005B38BB"/>
    <w:rsid w:val="005B3E13"/>
    <w:rsid w:val="005B3FED"/>
    <w:rsid w:val="005B45A1"/>
    <w:rsid w:val="005B5094"/>
    <w:rsid w:val="005B50FD"/>
    <w:rsid w:val="005B56FB"/>
    <w:rsid w:val="005B5875"/>
    <w:rsid w:val="005B5A76"/>
    <w:rsid w:val="005B5B25"/>
    <w:rsid w:val="005B5C39"/>
    <w:rsid w:val="005B5FFF"/>
    <w:rsid w:val="005B6536"/>
    <w:rsid w:val="005B6554"/>
    <w:rsid w:val="005B6DBA"/>
    <w:rsid w:val="005B6FB1"/>
    <w:rsid w:val="005B73D2"/>
    <w:rsid w:val="005B7824"/>
    <w:rsid w:val="005C08CB"/>
    <w:rsid w:val="005C124D"/>
    <w:rsid w:val="005C162F"/>
    <w:rsid w:val="005C17FA"/>
    <w:rsid w:val="005C1964"/>
    <w:rsid w:val="005C28A1"/>
    <w:rsid w:val="005C2FE7"/>
    <w:rsid w:val="005C3112"/>
    <w:rsid w:val="005C3224"/>
    <w:rsid w:val="005C3C50"/>
    <w:rsid w:val="005C3D0D"/>
    <w:rsid w:val="005C3F59"/>
    <w:rsid w:val="005C4A7C"/>
    <w:rsid w:val="005C4D25"/>
    <w:rsid w:val="005C4FC7"/>
    <w:rsid w:val="005C52BD"/>
    <w:rsid w:val="005C53B3"/>
    <w:rsid w:val="005C59C9"/>
    <w:rsid w:val="005C5DCB"/>
    <w:rsid w:val="005C6327"/>
    <w:rsid w:val="005C70E4"/>
    <w:rsid w:val="005C76F6"/>
    <w:rsid w:val="005C7A3C"/>
    <w:rsid w:val="005D0682"/>
    <w:rsid w:val="005D0C23"/>
    <w:rsid w:val="005D17B2"/>
    <w:rsid w:val="005D1B66"/>
    <w:rsid w:val="005D2425"/>
    <w:rsid w:val="005D2955"/>
    <w:rsid w:val="005D2F89"/>
    <w:rsid w:val="005D2FEA"/>
    <w:rsid w:val="005D334B"/>
    <w:rsid w:val="005D384E"/>
    <w:rsid w:val="005D38EE"/>
    <w:rsid w:val="005D39D4"/>
    <w:rsid w:val="005D3CDC"/>
    <w:rsid w:val="005D3E34"/>
    <w:rsid w:val="005D461B"/>
    <w:rsid w:val="005D470C"/>
    <w:rsid w:val="005D477D"/>
    <w:rsid w:val="005D4E6E"/>
    <w:rsid w:val="005D4F4A"/>
    <w:rsid w:val="005D5393"/>
    <w:rsid w:val="005D5898"/>
    <w:rsid w:val="005D61DA"/>
    <w:rsid w:val="005D6DDC"/>
    <w:rsid w:val="005D7171"/>
    <w:rsid w:val="005D7430"/>
    <w:rsid w:val="005D76CD"/>
    <w:rsid w:val="005D7717"/>
    <w:rsid w:val="005D7A3F"/>
    <w:rsid w:val="005E0041"/>
    <w:rsid w:val="005E00A2"/>
    <w:rsid w:val="005E0520"/>
    <w:rsid w:val="005E063D"/>
    <w:rsid w:val="005E0965"/>
    <w:rsid w:val="005E0ADB"/>
    <w:rsid w:val="005E0CB6"/>
    <w:rsid w:val="005E0EFC"/>
    <w:rsid w:val="005E10BD"/>
    <w:rsid w:val="005E1407"/>
    <w:rsid w:val="005E1C2F"/>
    <w:rsid w:val="005E1D1B"/>
    <w:rsid w:val="005E2BDF"/>
    <w:rsid w:val="005E3294"/>
    <w:rsid w:val="005E335F"/>
    <w:rsid w:val="005E36C5"/>
    <w:rsid w:val="005E3D19"/>
    <w:rsid w:val="005E4173"/>
    <w:rsid w:val="005E4419"/>
    <w:rsid w:val="005E47C5"/>
    <w:rsid w:val="005E4D50"/>
    <w:rsid w:val="005E4EC9"/>
    <w:rsid w:val="005E4EE6"/>
    <w:rsid w:val="005E55FC"/>
    <w:rsid w:val="005E5A7B"/>
    <w:rsid w:val="005E5B31"/>
    <w:rsid w:val="005E5D43"/>
    <w:rsid w:val="005E63A5"/>
    <w:rsid w:val="005E6A19"/>
    <w:rsid w:val="005E6B7E"/>
    <w:rsid w:val="005E6FD1"/>
    <w:rsid w:val="005E70CA"/>
    <w:rsid w:val="005E751F"/>
    <w:rsid w:val="005E768D"/>
    <w:rsid w:val="005E76AC"/>
    <w:rsid w:val="005E76F2"/>
    <w:rsid w:val="005F0144"/>
    <w:rsid w:val="005F01E6"/>
    <w:rsid w:val="005F0221"/>
    <w:rsid w:val="005F0584"/>
    <w:rsid w:val="005F09F7"/>
    <w:rsid w:val="005F0AC6"/>
    <w:rsid w:val="005F0E30"/>
    <w:rsid w:val="005F11C4"/>
    <w:rsid w:val="005F1387"/>
    <w:rsid w:val="005F1A86"/>
    <w:rsid w:val="005F1AE2"/>
    <w:rsid w:val="005F1FA0"/>
    <w:rsid w:val="005F2EBC"/>
    <w:rsid w:val="005F2F5A"/>
    <w:rsid w:val="005F3035"/>
    <w:rsid w:val="005F311E"/>
    <w:rsid w:val="005F3525"/>
    <w:rsid w:val="005F3862"/>
    <w:rsid w:val="005F3EDA"/>
    <w:rsid w:val="005F42D4"/>
    <w:rsid w:val="005F44DF"/>
    <w:rsid w:val="005F4696"/>
    <w:rsid w:val="005F475D"/>
    <w:rsid w:val="005F48C9"/>
    <w:rsid w:val="005F4A95"/>
    <w:rsid w:val="005F4BC9"/>
    <w:rsid w:val="005F517A"/>
    <w:rsid w:val="005F55D9"/>
    <w:rsid w:val="005F5633"/>
    <w:rsid w:val="005F57AF"/>
    <w:rsid w:val="005F5D13"/>
    <w:rsid w:val="005F5E08"/>
    <w:rsid w:val="005F5F01"/>
    <w:rsid w:val="005F6088"/>
    <w:rsid w:val="005F61F2"/>
    <w:rsid w:val="005F61FD"/>
    <w:rsid w:val="005F6348"/>
    <w:rsid w:val="005F6E04"/>
    <w:rsid w:val="005F707B"/>
    <w:rsid w:val="005F75F5"/>
    <w:rsid w:val="005F7667"/>
    <w:rsid w:val="005F792B"/>
    <w:rsid w:val="00600293"/>
    <w:rsid w:val="0060056D"/>
    <w:rsid w:val="00600AE3"/>
    <w:rsid w:val="006016C0"/>
    <w:rsid w:val="00601CBC"/>
    <w:rsid w:val="00601D53"/>
    <w:rsid w:val="006020E5"/>
    <w:rsid w:val="006024AD"/>
    <w:rsid w:val="00602A3C"/>
    <w:rsid w:val="00602A68"/>
    <w:rsid w:val="00602C05"/>
    <w:rsid w:val="00605265"/>
    <w:rsid w:val="00605373"/>
    <w:rsid w:val="006056DF"/>
    <w:rsid w:val="00606B91"/>
    <w:rsid w:val="00607251"/>
    <w:rsid w:val="00607275"/>
    <w:rsid w:val="006072FB"/>
    <w:rsid w:val="0060730F"/>
    <w:rsid w:val="00607610"/>
    <w:rsid w:val="00607E68"/>
    <w:rsid w:val="006100AC"/>
    <w:rsid w:val="0061055A"/>
    <w:rsid w:val="00610A32"/>
    <w:rsid w:val="00610ACD"/>
    <w:rsid w:val="00610E88"/>
    <w:rsid w:val="00611088"/>
    <w:rsid w:val="00611090"/>
    <w:rsid w:val="006111E2"/>
    <w:rsid w:val="0061136E"/>
    <w:rsid w:val="0061168D"/>
    <w:rsid w:val="00612081"/>
    <w:rsid w:val="006126C7"/>
    <w:rsid w:val="0061298D"/>
    <w:rsid w:val="006129B0"/>
    <w:rsid w:val="00612BBB"/>
    <w:rsid w:val="00612C65"/>
    <w:rsid w:val="0061343D"/>
    <w:rsid w:val="006137A0"/>
    <w:rsid w:val="00614128"/>
    <w:rsid w:val="006149A4"/>
    <w:rsid w:val="006150A3"/>
    <w:rsid w:val="00615306"/>
    <w:rsid w:val="00615743"/>
    <w:rsid w:val="006158F4"/>
    <w:rsid w:val="00615A42"/>
    <w:rsid w:val="00615B9A"/>
    <w:rsid w:val="006167DA"/>
    <w:rsid w:val="00616A46"/>
    <w:rsid w:val="00616B2E"/>
    <w:rsid w:val="00617D10"/>
    <w:rsid w:val="006200DC"/>
    <w:rsid w:val="0062060E"/>
    <w:rsid w:val="0062075C"/>
    <w:rsid w:val="00620C36"/>
    <w:rsid w:val="00620C57"/>
    <w:rsid w:val="00621A7A"/>
    <w:rsid w:val="00622789"/>
    <w:rsid w:val="00622841"/>
    <w:rsid w:val="006228AB"/>
    <w:rsid w:val="00622D8C"/>
    <w:rsid w:val="00623163"/>
    <w:rsid w:val="006233DE"/>
    <w:rsid w:val="006235BA"/>
    <w:rsid w:val="0062363A"/>
    <w:rsid w:val="0062364B"/>
    <w:rsid w:val="00623DBA"/>
    <w:rsid w:val="00623FE0"/>
    <w:rsid w:val="0062417E"/>
    <w:rsid w:val="006242BB"/>
    <w:rsid w:val="006245F6"/>
    <w:rsid w:val="00625326"/>
    <w:rsid w:val="00625533"/>
    <w:rsid w:val="0062584E"/>
    <w:rsid w:val="00626067"/>
    <w:rsid w:val="00626821"/>
    <w:rsid w:val="00626854"/>
    <w:rsid w:val="00626A9D"/>
    <w:rsid w:val="00626DD5"/>
    <w:rsid w:val="00627AA9"/>
    <w:rsid w:val="0063043F"/>
    <w:rsid w:val="00631DA2"/>
    <w:rsid w:val="00631DCB"/>
    <w:rsid w:val="00632368"/>
    <w:rsid w:val="00632563"/>
    <w:rsid w:val="006325D0"/>
    <w:rsid w:val="00632D45"/>
    <w:rsid w:val="00632FCB"/>
    <w:rsid w:val="00633036"/>
    <w:rsid w:val="006332C9"/>
    <w:rsid w:val="006336F0"/>
    <w:rsid w:val="00633ADC"/>
    <w:rsid w:val="0063432F"/>
    <w:rsid w:val="006343E3"/>
    <w:rsid w:val="00634740"/>
    <w:rsid w:val="00634796"/>
    <w:rsid w:val="0063497C"/>
    <w:rsid w:val="006353F5"/>
    <w:rsid w:val="006357CC"/>
    <w:rsid w:val="00635C20"/>
    <w:rsid w:val="006361FC"/>
    <w:rsid w:val="00636A47"/>
    <w:rsid w:val="00637AA2"/>
    <w:rsid w:val="00637B3B"/>
    <w:rsid w:val="0064068E"/>
    <w:rsid w:val="00640C62"/>
    <w:rsid w:val="00640D84"/>
    <w:rsid w:val="00641F10"/>
    <w:rsid w:val="00641FB2"/>
    <w:rsid w:val="00642776"/>
    <w:rsid w:val="0064287F"/>
    <w:rsid w:val="00643A54"/>
    <w:rsid w:val="00643B1E"/>
    <w:rsid w:val="0064455D"/>
    <w:rsid w:val="00644E1E"/>
    <w:rsid w:val="0064508E"/>
    <w:rsid w:val="006450E9"/>
    <w:rsid w:val="006450ED"/>
    <w:rsid w:val="0064546B"/>
    <w:rsid w:val="00645477"/>
    <w:rsid w:val="00645878"/>
    <w:rsid w:val="00645959"/>
    <w:rsid w:val="00645D4C"/>
    <w:rsid w:val="00646156"/>
    <w:rsid w:val="0064636F"/>
    <w:rsid w:val="006465FE"/>
    <w:rsid w:val="006467A0"/>
    <w:rsid w:val="00646E7A"/>
    <w:rsid w:val="00647152"/>
    <w:rsid w:val="00647447"/>
    <w:rsid w:val="00647B86"/>
    <w:rsid w:val="00647E07"/>
    <w:rsid w:val="00650B1C"/>
    <w:rsid w:val="00650BDE"/>
    <w:rsid w:val="00650CD6"/>
    <w:rsid w:val="006512E9"/>
    <w:rsid w:val="006513ED"/>
    <w:rsid w:val="00651618"/>
    <w:rsid w:val="00651845"/>
    <w:rsid w:val="00651B87"/>
    <w:rsid w:val="00651D2B"/>
    <w:rsid w:val="00652C3A"/>
    <w:rsid w:val="00652EFD"/>
    <w:rsid w:val="00653505"/>
    <w:rsid w:val="00654071"/>
    <w:rsid w:val="00654283"/>
    <w:rsid w:val="00655740"/>
    <w:rsid w:val="006558B9"/>
    <w:rsid w:val="00655ACA"/>
    <w:rsid w:val="00656088"/>
    <w:rsid w:val="00656232"/>
    <w:rsid w:val="00656A5D"/>
    <w:rsid w:val="00656A93"/>
    <w:rsid w:val="0065743C"/>
    <w:rsid w:val="006576F9"/>
    <w:rsid w:val="006578E1"/>
    <w:rsid w:val="006579FB"/>
    <w:rsid w:val="00657E5F"/>
    <w:rsid w:val="00660382"/>
    <w:rsid w:val="00660859"/>
    <w:rsid w:val="00660D82"/>
    <w:rsid w:val="00661ADE"/>
    <w:rsid w:val="00661D8D"/>
    <w:rsid w:val="00661ECF"/>
    <w:rsid w:val="00661FB7"/>
    <w:rsid w:val="00662157"/>
    <w:rsid w:val="00662188"/>
    <w:rsid w:val="00662439"/>
    <w:rsid w:val="00662AF7"/>
    <w:rsid w:val="00662BA4"/>
    <w:rsid w:val="006630AD"/>
    <w:rsid w:val="00663140"/>
    <w:rsid w:val="006634F6"/>
    <w:rsid w:val="00663500"/>
    <w:rsid w:val="00663B3B"/>
    <w:rsid w:val="00663CE7"/>
    <w:rsid w:val="00663D5B"/>
    <w:rsid w:val="00663D97"/>
    <w:rsid w:val="00664327"/>
    <w:rsid w:val="00664348"/>
    <w:rsid w:val="0066488D"/>
    <w:rsid w:val="00664AB1"/>
    <w:rsid w:val="00664EE1"/>
    <w:rsid w:val="0066528E"/>
    <w:rsid w:val="00666259"/>
    <w:rsid w:val="006662D1"/>
    <w:rsid w:val="00666554"/>
    <w:rsid w:val="00666636"/>
    <w:rsid w:val="00667164"/>
    <w:rsid w:val="0066749C"/>
    <w:rsid w:val="00670172"/>
    <w:rsid w:val="006707C0"/>
    <w:rsid w:val="006707F5"/>
    <w:rsid w:val="00670A6A"/>
    <w:rsid w:val="006714F2"/>
    <w:rsid w:val="00672006"/>
    <w:rsid w:val="0067230A"/>
    <w:rsid w:val="006725F8"/>
    <w:rsid w:val="0067261B"/>
    <w:rsid w:val="00672849"/>
    <w:rsid w:val="00674288"/>
    <w:rsid w:val="006744D9"/>
    <w:rsid w:val="00674E73"/>
    <w:rsid w:val="00675416"/>
    <w:rsid w:val="006759F3"/>
    <w:rsid w:val="006760CC"/>
    <w:rsid w:val="0067632D"/>
    <w:rsid w:val="0067677F"/>
    <w:rsid w:val="00676783"/>
    <w:rsid w:val="00676E88"/>
    <w:rsid w:val="006771A0"/>
    <w:rsid w:val="00677518"/>
    <w:rsid w:val="00677876"/>
    <w:rsid w:val="006779A4"/>
    <w:rsid w:val="00677B23"/>
    <w:rsid w:val="00682868"/>
    <w:rsid w:val="006828E7"/>
    <w:rsid w:val="00682B32"/>
    <w:rsid w:val="00683216"/>
    <w:rsid w:val="00683ABD"/>
    <w:rsid w:val="00684A8E"/>
    <w:rsid w:val="0068509B"/>
    <w:rsid w:val="006854DD"/>
    <w:rsid w:val="00685659"/>
    <w:rsid w:val="00685A07"/>
    <w:rsid w:val="00685E6C"/>
    <w:rsid w:val="00685F9F"/>
    <w:rsid w:val="00685FBF"/>
    <w:rsid w:val="00686168"/>
    <w:rsid w:val="00686250"/>
    <w:rsid w:val="00687169"/>
    <w:rsid w:val="00687353"/>
    <w:rsid w:val="006878AD"/>
    <w:rsid w:val="00687CF5"/>
    <w:rsid w:val="00690E05"/>
    <w:rsid w:val="00690FB6"/>
    <w:rsid w:val="006917EE"/>
    <w:rsid w:val="00691ABA"/>
    <w:rsid w:val="00691B8B"/>
    <w:rsid w:val="006920F6"/>
    <w:rsid w:val="0069227E"/>
    <w:rsid w:val="006928ED"/>
    <w:rsid w:val="00692958"/>
    <w:rsid w:val="00692ADA"/>
    <w:rsid w:val="00693A1E"/>
    <w:rsid w:val="00693BEC"/>
    <w:rsid w:val="00693F02"/>
    <w:rsid w:val="0069407E"/>
    <w:rsid w:val="00694443"/>
    <w:rsid w:val="00694546"/>
    <w:rsid w:val="006945D6"/>
    <w:rsid w:val="006945DC"/>
    <w:rsid w:val="00694AA1"/>
    <w:rsid w:val="00694BD4"/>
    <w:rsid w:val="00694CD6"/>
    <w:rsid w:val="00695726"/>
    <w:rsid w:val="00695795"/>
    <w:rsid w:val="00695801"/>
    <w:rsid w:val="006958BE"/>
    <w:rsid w:val="00695D73"/>
    <w:rsid w:val="0069602F"/>
    <w:rsid w:val="006960FE"/>
    <w:rsid w:val="00696201"/>
    <w:rsid w:val="00696ABC"/>
    <w:rsid w:val="00696BDC"/>
    <w:rsid w:val="00696D08"/>
    <w:rsid w:val="00697739"/>
    <w:rsid w:val="00697AEF"/>
    <w:rsid w:val="006A06B7"/>
    <w:rsid w:val="006A06DB"/>
    <w:rsid w:val="006A0728"/>
    <w:rsid w:val="006A0826"/>
    <w:rsid w:val="006A0D2E"/>
    <w:rsid w:val="006A0D73"/>
    <w:rsid w:val="006A0DB6"/>
    <w:rsid w:val="006A108A"/>
    <w:rsid w:val="006A1BDA"/>
    <w:rsid w:val="006A1D75"/>
    <w:rsid w:val="006A1DF6"/>
    <w:rsid w:val="006A27F2"/>
    <w:rsid w:val="006A2F72"/>
    <w:rsid w:val="006A3063"/>
    <w:rsid w:val="006A3287"/>
    <w:rsid w:val="006A34E0"/>
    <w:rsid w:val="006A37B2"/>
    <w:rsid w:val="006A3D86"/>
    <w:rsid w:val="006A3E3C"/>
    <w:rsid w:val="006A3F2F"/>
    <w:rsid w:val="006A41A5"/>
    <w:rsid w:val="006A485A"/>
    <w:rsid w:val="006A4B93"/>
    <w:rsid w:val="006A574D"/>
    <w:rsid w:val="006A5819"/>
    <w:rsid w:val="006A591C"/>
    <w:rsid w:val="006A5A43"/>
    <w:rsid w:val="006A5B32"/>
    <w:rsid w:val="006A6671"/>
    <w:rsid w:val="006A6B5D"/>
    <w:rsid w:val="006A75CD"/>
    <w:rsid w:val="006A7877"/>
    <w:rsid w:val="006A795F"/>
    <w:rsid w:val="006A7E4D"/>
    <w:rsid w:val="006B0646"/>
    <w:rsid w:val="006B0948"/>
    <w:rsid w:val="006B1102"/>
    <w:rsid w:val="006B1471"/>
    <w:rsid w:val="006B1772"/>
    <w:rsid w:val="006B1B60"/>
    <w:rsid w:val="006B1F1D"/>
    <w:rsid w:val="006B2DFB"/>
    <w:rsid w:val="006B3365"/>
    <w:rsid w:val="006B34F4"/>
    <w:rsid w:val="006B35C7"/>
    <w:rsid w:val="006B365E"/>
    <w:rsid w:val="006B3A79"/>
    <w:rsid w:val="006B3C37"/>
    <w:rsid w:val="006B4EAA"/>
    <w:rsid w:val="006B4F1F"/>
    <w:rsid w:val="006B4F5A"/>
    <w:rsid w:val="006B5410"/>
    <w:rsid w:val="006B5C06"/>
    <w:rsid w:val="006B5FA9"/>
    <w:rsid w:val="006B62EF"/>
    <w:rsid w:val="006B638F"/>
    <w:rsid w:val="006B6EE3"/>
    <w:rsid w:val="006B7550"/>
    <w:rsid w:val="006B7A2F"/>
    <w:rsid w:val="006B7B8A"/>
    <w:rsid w:val="006B7F87"/>
    <w:rsid w:val="006C00B1"/>
    <w:rsid w:val="006C04BC"/>
    <w:rsid w:val="006C0C6A"/>
    <w:rsid w:val="006C0CD5"/>
    <w:rsid w:val="006C0E8A"/>
    <w:rsid w:val="006C1098"/>
    <w:rsid w:val="006C15EB"/>
    <w:rsid w:val="006C20D3"/>
    <w:rsid w:val="006C244B"/>
    <w:rsid w:val="006C2602"/>
    <w:rsid w:val="006C27F3"/>
    <w:rsid w:val="006C2CD8"/>
    <w:rsid w:val="006C31C0"/>
    <w:rsid w:val="006C35CA"/>
    <w:rsid w:val="006C3701"/>
    <w:rsid w:val="006C3939"/>
    <w:rsid w:val="006C3BD9"/>
    <w:rsid w:val="006C3C6E"/>
    <w:rsid w:val="006C4275"/>
    <w:rsid w:val="006C4A50"/>
    <w:rsid w:val="006C4DC0"/>
    <w:rsid w:val="006C52EF"/>
    <w:rsid w:val="006C5457"/>
    <w:rsid w:val="006C6267"/>
    <w:rsid w:val="006C6B55"/>
    <w:rsid w:val="006C6CC7"/>
    <w:rsid w:val="006C70A4"/>
    <w:rsid w:val="006C70EE"/>
    <w:rsid w:val="006C7141"/>
    <w:rsid w:val="006C71E0"/>
    <w:rsid w:val="006C7CCF"/>
    <w:rsid w:val="006D0F80"/>
    <w:rsid w:val="006D1681"/>
    <w:rsid w:val="006D1BD0"/>
    <w:rsid w:val="006D1CEB"/>
    <w:rsid w:val="006D1E52"/>
    <w:rsid w:val="006D243C"/>
    <w:rsid w:val="006D2541"/>
    <w:rsid w:val="006D3341"/>
    <w:rsid w:val="006D43BF"/>
    <w:rsid w:val="006D4B1D"/>
    <w:rsid w:val="006D550D"/>
    <w:rsid w:val="006D6167"/>
    <w:rsid w:val="006D6654"/>
    <w:rsid w:val="006D6A1B"/>
    <w:rsid w:val="006D72F4"/>
    <w:rsid w:val="006D7668"/>
    <w:rsid w:val="006D781C"/>
    <w:rsid w:val="006D7AF5"/>
    <w:rsid w:val="006D7DC5"/>
    <w:rsid w:val="006D7F8C"/>
    <w:rsid w:val="006E07A7"/>
    <w:rsid w:val="006E0E9D"/>
    <w:rsid w:val="006E1A3D"/>
    <w:rsid w:val="006E1C86"/>
    <w:rsid w:val="006E1D25"/>
    <w:rsid w:val="006E291D"/>
    <w:rsid w:val="006E2BA4"/>
    <w:rsid w:val="006E4126"/>
    <w:rsid w:val="006E4494"/>
    <w:rsid w:val="006E46DF"/>
    <w:rsid w:val="006E5789"/>
    <w:rsid w:val="006E63DE"/>
    <w:rsid w:val="006E6548"/>
    <w:rsid w:val="006E6639"/>
    <w:rsid w:val="006E6A21"/>
    <w:rsid w:val="006E6BEB"/>
    <w:rsid w:val="006E6E71"/>
    <w:rsid w:val="006E6FB4"/>
    <w:rsid w:val="006E709D"/>
    <w:rsid w:val="006E70D0"/>
    <w:rsid w:val="006E7177"/>
    <w:rsid w:val="006E729C"/>
    <w:rsid w:val="006E7368"/>
    <w:rsid w:val="006E75E9"/>
    <w:rsid w:val="006E7E18"/>
    <w:rsid w:val="006F0522"/>
    <w:rsid w:val="006F0739"/>
    <w:rsid w:val="006F0884"/>
    <w:rsid w:val="006F0E96"/>
    <w:rsid w:val="006F0EA6"/>
    <w:rsid w:val="006F155D"/>
    <w:rsid w:val="006F157B"/>
    <w:rsid w:val="006F21A3"/>
    <w:rsid w:val="006F2B2D"/>
    <w:rsid w:val="006F2C01"/>
    <w:rsid w:val="006F35AE"/>
    <w:rsid w:val="006F36D2"/>
    <w:rsid w:val="006F4108"/>
    <w:rsid w:val="006F48E7"/>
    <w:rsid w:val="006F5611"/>
    <w:rsid w:val="006F58B0"/>
    <w:rsid w:val="006F5D31"/>
    <w:rsid w:val="006F5D54"/>
    <w:rsid w:val="006F7583"/>
    <w:rsid w:val="006F7C65"/>
    <w:rsid w:val="006F7D5F"/>
    <w:rsid w:val="00700498"/>
    <w:rsid w:val="00700666"/>
    <w:rsid w:val="0070088E"/>
    <w:rsid w:val="00701233"/>
    <w:rsid w:val="00701511"/>
    <w:rsid w:val="0070191B"/>
    <w:rsid w:val="00702DAB"/>
    <w:rsid w:val="007030D5"/>
    <w:rsid w:val="007032A9"/>
    <w:rsid w:val="007033A6"/>
    <w:rsid w:val="007033B1"/>
    <w:rsid w:val="00703ED9"/>
    <w:rsid w:val="00703F45"/>
    <w:rsid w:val="00704AA9"/>
    <w:rsid w:val="00704D79"/>
    <w:rsid w:val="00705143"/>
    <w:rsid w:val="007052BD"/>
    <w:rsid w:val="00705D72"/>
    <w:rsid w:val="00706491"/>
    <w:rsid w:val="007067A0"/>
    <w:rsid w:val="0070688A"/>
    <w:rsid w:val="00706A69"/>
    <w:rsid w:val="00706C0F"/>
    <w:rsid w:val="00706EEB"/>
    <w:rsid w:val="00706F7D"/>
    <w:rsid w:val="00707134"/>
    <w:rsid w:val="0070714E"/>
    <w:rsid w:val="00707258"/>
    <w:rsid w:val="00707273"/>
    <w:rsid w:val="00707DC3"/>
    <w:rsid w:val="00710322"/>
    <w:rsid w:val="007105A7"/>
    <w:rsid w:val="007107B4"/>
    <w:rsid w:val="00710DE4"/>
    <w:rsid w:val="00710F68"/>
    <w:rsid w:val="00710FF4"/>
    <w:rsid w:val="007116CE"/>
    <w:rsid w:val="00712223"/>
    <w:rsid w:val="007125BC"/>
    <w:rsid w:val="007126DB"/>
    <w:rsid w:val="007130FC"/>
    <w:rsid w:val="0071322B"/>
    <w:rsid w:val="00713976"/>
    <w:rsid w:val="00713C5C"/>
    <w:rsid w:val="00713D48"/>
    <w:rsid w:val="0071400F"/>
    <w:rsid w:val="0071431C"/>
    <w:rsid w:val="0071438F"/>
    <w:rsid w:val="007148A5"/>
    <w:rsid w:val="00714FBD"/>
    <w:rsid w:val="00715E55"/>
    <w:rsid w:val="007169C6"/>
    <w:rsid w:val="007169F7"/>
    <w:rsid w:val="00717370"/>
    <w:rsid w:val="0072072F"/>
    <w:rsid w:val="00720892"/>
    <w:rsid w:val="00720F3C"/>
    <w:rsid w:val="00721152"/>
    <w:rsid w:val="0072135F"/>
    <w:rsid w:val="0072137E"/>
    <w:rsid w:val="0072150B"/>
    <w:rsid w:val="007218B3"/>
    <w:rsid w:val="00721D38"/>
    <w:rsid w:val="00721DA5"/>
    <w:rsid w:val="00722607"/>
    <w:rsid w:val="00722B23"/>
    <w:rsid w:val="00722FD8"/>
    <w:rsid w:val="00723084"/>
    <w:rsid w:val="007235F8"/>
    <w:rsid w:val="00723849"/>
    <w:rsid w:val="00723B16"/>
    <w:rsid w:val="00723B26"/>
    <w:rsid w:val="00723F8C"/>
    <w:rsid w:val="007246E5"/>
    <w:rsid w:val="0072535C"/>
    <w:rsid w:val="00725A27"/>
    <w:rsid w:val="00725BB4"/>
    <w:rsid w:val="00725FC6"/>
    <w:rsid w:val="00726402"/>
    <w:rsid w:val="0072670B"/>
    <w:rsid w:val="0072672E"/>
    <w:rsid w:val="00726953"/>
    <w:rsid w:val="00726F97"/>
    <w:rsid w:val="007274BC"/>
    <w:rsid w:val="00727743"/>
    <w:rsid w:val="00727B84"/>
    <w:rsid w:val="00727F09"/>
    <w:rsid w:val="00730107"/>
    <w:rsid w:val="007303E8"/>
    <w:rsid w:val="0073068D"/>
    <w:rsid w:val="00730FCC"/>
    <w:rsid w:val="00731041"/>
    <w:rsid w:val="00731978"/>
    <w:rsid w:val="00732819"/>
    <w:rsid w:val="00732A9D"/>
    <w:rsid w:val="00733076"/>
    <w:rsid w:val="007331FA"/>
    <w:rsid w:val="00733F72"/>
    <w:rsid w:val="0073435D"/>
    <w:rsid w:val="007347B9"/>
    <w:rsid w:val="0073491C"/>
    <w:rsid w:val="00734EFF"/>
    <w:rsid w:val="007354FD"/>
    <w:rsid w:val="00735DA0"/>
    <w:rsid w:val="00735E64"/>
    <w:rsid w:val="007365EB"/>
    <w:rsid w:val="00736792"/>
    <w:rsid w:val="00736829"/>
    <w:rsid w:val="00736EFE"/>
    <w:rsid w:val="00737199"/>
    <w:rsid w:val="00737567"/>
    <w:rsid w:val="00737FD8"/>
    <w:rsid w:val="0074008A"/>
    <w:rsid w:val="0074008B"/>
    <w:rsid w:val="00740C8D"/>
    <w:rsid w:val="00740F8A"/>
    <w:rsid w:val="00741066"/>
    <w:rsid w:val="0074160C"/>
    <w:rsid w:val="007422FE"/>
    <w:rsid w:val="00742383"/>
    <w:rsid w:val="00742E7E"/>
    <w:rsid w:val="007439BC"/>
    <w:rsid w:val="00743A8D"/>
    <w:rsid w:val="0074409F"/>
    <w:rsid w:val="00744716"/>
    <w:rsid w:val="00744953"/>
    <w:rsid w:val="00744C63"/>
    <w:rsid w:val="00744DC7"/>
    <w:rsid w:val="007453A8"/>
    <w:rsid w:val="007455E6"/>
    <w:rsid w:val="00745949"/>
    <w:rsid w:val="00745FF6"/>
    <w:rsid w:val="00746A50"/>
    <w:rsid w:val="0074714B"/>
    <w:rsid w:val="00747272"/>
    <w:rsid w:val="00747C88"/>
    <w:rsid w:val="00747EA9"/>
    <w:rsid w:val="0075000E"/>
    <w:rsid w:val="007500E9"/>
    <w:rsid w:val="00751593"/>
    <w:rsid w:val="00751B36"/>
    <w:rsid w:val="00751D66"/>
    <w:rsid w:val="00751E18"/>
    <w:rsid w:val="00752A28"/>
    <w:rsid w:val="00752C47"/>
    <w:rsid w:val="00753749"/>
    <w:rsid w:val="007538D0"/>
    <w:rsid w:val="00753BA8"/>
    <w:rsid w:val="00753BBF"/>
    <w:rsid w:val="00753F38"/>
    <w:rsid w:val="00754054"/>
    <w:rsid w:val="007545D9"/>
    <w:rsid w:val="0075486D"/>
    <w:rsid w:val="0075488F"/>
    <w:rsid w:val="00754D2B"/>
    <w:rsid w:val="00754D95"/>
    <w:rsid w:val="00754E7E"/>
    <w:rsid w:val="00755326"/>
    <w:rsid w:val="007553A9"/>
    <w:rsid w:val="0075557B"/>
    <w:rsid w:val="007557CE"/>
    <w:rsid w:val="00755908"/>
    <w:rsid w:val="007559CC"/>
    <w:rsid w:val="00755ACF"/>
    <w:rsid w:val="00755FFE"/>
    <w:rsid w:val="00756392"/>
    <w:rsid w:val="007569F6"/>
    <w:rsid w:val="00756EDB"/>
    <w:rsid w:val="00757451"/>
    <w:rsid w:val="00757817"/>
    <w:rsid w:val="00757883"/>
    <w:rsid w:val="00757B73"/>
    <w:rsid w:val="007604C8"/>
    <w:rsid w:val="007604F0"/>
    <w:rsid w:val="0076121A"/>
    <w:rsid w:val="0076148F"/>
    <w:rsid w:val="00761B5E"/>
    <w:rsid w:val="00762353"/>
    <w:rsid w:val="00762AED"/>
    <w:rsid w:val="007632F9"/>
    <w:rsid w:val="00763765"/>
    <w:rsid w:val="007638FB"/>
    <w:rsid w:val="0076395C"/>
    <w:rsid w:val="00763DA7"/>
    <w:rsid w:val="00764028"/>
    <w:rsid w:val="00764587"/>
    <w:rsid w:val="00764A0A"/>
    <w:rsid w:val="00764B75"/>
    <w:rsid w:val="00764ED2"/>
    <w:rsid w:val="0076531A"/>
    <w:rsid w:val="00765D64"/>
    <w:rsid w:val="0076620F"/>
    <w:rsid w:val="00766D5E"/>
    <w:rsid w:val="00766DE2"/>
    <w:rsid w:val="00766DF4"/>
    <w:rsid w:val="00766EC1"/>
    <w:rsid w:val="0076778B"/>
    <w:rsid w:val="00767C9D"/>
    <w:rsid w:val="00767F6A"/>
    <w:rsid w:val="00767F81"/>
    <w:rsid w:val="0077005A"/>
    <w:rsid w:val="007705A6"/>
    <w:rsid w:val="0077107D"/>
    <w:rsid w:val="0077193C"/>
    <w:rsid w:val="00771DB0"/>
    <w:rsid w:val="0077226B"/>
    <w:rsid w:val="007729D3"/>
    <w:rsid w:val="00772A5A"/>
    <w:rsid w:val="007733EC"/>
    <w:rsid w:val="00774FB3"/>
    <w:rsid w:val="0077535B"/>
    <w:rsid w:val="00775717"/>
    <w:rsid w:val="007764B7"/>
    <w:rsid w:val="007766E1"/>
    <w:rsid w:val="007768F5"/>
    <w:rsid w:val="0077698F"/>
    <w:rsid w:val="00776A8A"/>
    <w:rsid w:val="00776E3A"/>
    <w:rsid w:val="0077707C"/>
    <w:rsid w:val="00777B50"/>
    <w:rsid w:val="0078003E"/>
    <w:rsid w:val="0078089D"/>
    <w:rsid w:val="00780B67"/>
    <w:rsid w:val="007812E2"/>
    <w:rsid w:val="007813FB"/>
    <w:rsid w:val="00781BA4"/>
    <w:rsid w:val="00781D70"/>
    <w:rsid w:val="00781DEF"/>
    <w:rsid w:val="00781E82"/>
    <w:rsid w:val="0078206E"/>
    <w:rsid w:val="007823C7"/>
    <w:rsid w:val="00782C9C"/>
    <w:rsid w:val="007831AB"/>
    <w:rsid w:val="0078324D"/>
    <w:rsid w:val="00783424"/>
    <w:rsid w:val="007834AF"/>
    <w:rsid w:val="007834DB"/>
    <w:rsid w:val="0078386F"/>
    <w:rsid w:val="0078404E"/>
    <w:rsid w:val="0078425C"/>
    <w:rsid w:val="007843BC"/>
    <w:rsid w:val="0078449F"/>
    <w:rsid w:val="007846F5"/>
    <w:rsid w:val="00784A5E"/>
    <w:rsid w:val="00784D87"/>
    <w:rsid w:val="0078500D"/>
    <w:rsid w:val="007855B8"/>
    <w:rsid w:val="00785654"/>
    <w:rsid w:val="007857AD"/>
    <w:rsid w:val="00785DFD"/>
    <w:rsid w:val="007869A9"/>
    <w:rsid w:val="00786CAA"/>
    <w:rsid w:val="00787014"/>
    <w:rsid w:val="0078710C"/>
    <w:rsid w:val="007871EF"/>
    <w:rsid w:val="0078735A"/>
    <w:rsid w:val="00787579"/>
    <w:rsid w:val="0078792B"/>
    <w:rsid w:val="00787957"/>
    <w:rsid w:val="00787981"/>
    <w:rsid w:val="00787DDC"/>
    <w:rsid w:val="00787E7F"/>
    <w:rsid w:val="00787F56"/>
    <w:rsid w:val="0079073F"/>
    <w:rsid w:val="0079095C"/>
    <w:rsid w:val="007909C5"/>
    <w:rsid w:val="00791579"/>
    <w:rsid w:val="007919BD"/>
    <w:rsid w:val="00791BC6"/>
    <w:rsid w:val="00791E1A"/>
    <w:rsid w:val="00791E1D"/>
    <w:rsid w:val="00791ED8"/>
    <w:rsid w:val="00791F4E"/>
    <w:rsid w:val="007922D7"/>
    <w:rsid w:val="00792508"/>
    <w:rsid w:val="007926F9"/>
    <w:rsid w:val="00792A35"/>
    <w:rsid w:val="0079345C"/>
    <w:rsid w:val="00793944"/>
    <w:rsid w:val="00793F93"/>
    <w:rsid w:val="00794389"/>
    <w:rsid w:val="00794F90"/>
    <w:rsid w:val="00794F98"/>
    <w:rsid w:val="007950E3"/>
    <w:rsid w:val="00795110"/>
    <w:rsid w:val="00795168"/>
    <w:rsid w:val="007952F2"/>
    <w:rsid w:val="00795C4D"/>
    <w:rsid w:val="00795D55"/>
    <w:rsid w:val="00796157"/>
    <w:rsid w:val="00796342"/>
    <w:rsid w:val="007964B1"/>
    <w:rsid w:val="00796B44"/>
    <w:rsid w:val="007A0040"/>
    <w:rsid w:val="007A00A6"/>
    <w:rsid w:val="007A0B76"/>
    <w:rsid w:val="007A0F2B"/>
    <w:rsid w:val="007A15B3"/>
    <w:rsid w:val="007A1918"/>
    <w:rsid w:val="007A1EB1"/>
    <w:rsid w:val="007A247D"/>
    <w:rsid w:val="007A250C"/>
    <w:rsid w:val="007A2FE5"/>
    <w:rsid w:val="007A315C"/>
    <w:rsid w:val="007A35BF"/>
    <w:rsid w:val="007A3B71"/>
    <w:rsid w:val="007A45C0"/>
    <w:rsid w:val="007A4C5A"/>
    <w:rsid w:val="007A4EE9"/>
    <w:rsid w:val="007A4FA4"/>
    <w:rsid w:val="007A530D"/>
    <w:rsid w:val="007A536B"/>
    <w:rsid w:val="007A590F"/>
    <w:rsid w:val="007A5FE2"/>
    <w:rsid w:val="007A622B"/>
    <w:rsid w:val="007A6312"/>
    <w:rsid w:val="007A63F6"/>
    <w:rsid w:val="007A6506"/>
    <w:rsid w:val="007A652F"/>
    <w:rsid w:val="007A6D8B"/>
    <w:rsid w:val="007A716B"/>
    <w:rsid w:val="007A76DF"/>
    <w:rsid w:val="007A76FE"/>
    <w:rsid w:val="007A7DB4"/>
    <w:rsid w:val="007A7F6B"/>
    <w:rsid w:val="007B01BF"/>
    <w:rsid w:val="007B0330"/>
    <w:rsid w:val="007B046A"/>
    <w:rsid w:val="007B061B"/>
    <w:rsid w:val="007B0A9F"/>
    <w:rsid w:val="007B0CAE"/>
    <w:rsid w:val="007B0EC4"/>
    <w:rsid w:val="007B1858"/>
    <w:rsid w:val="007B18F8"/>
    <w:rsid w:val="007B1AD4"/>
    <w:rsid w:val="007B1DBB"/>
    <w:rsid w:val="007B1DCE"/>
    <w:rsid w:val="007B24CE"/>
    <w:rsid w:val="007B279A"/>
    <w:rsid w:val="007B30D4"/>
    <w:rsid w:val="007B3825"/>
    <w:rsid w:val="007B3C6C"/>
    <w:rsid w:val="007B47CB"/>
    <w:rsid w:val="007B47EA"/>
    <w:rsid w:val="007B4D1B"/>
    <w:rsid w:val="007B4DC9"/>
    <w:rsid w:val="007B539D"/>
    <w:rsid w:val="007B53F6"/>
    <w:rsid w:val="007B55FC"/>
    <w:rsid w:val="007B5810"/>
    <w:rsid w:val="007B585E"/>
    <w:rsid w:val="007B59F0"/>
    <w:rsid w:val="007B59F4"/>
    <w:rsid w:val="007B5A34"/>
    <w:rsid w:val="007B5B09"/>
    <w:rsid w:val="007B6AF9"/>
    <w:rsid w:val="007B6FD7"/>
    <w:rsid w:val="007C02E6"/>
    <w:rsid w:val="007C0334"/>
    <w:rsid w:val="007C07B8"/>
    <w:rsid w:val="007C0851"/>
    <w:rsid w:val="007C12D2"/>
    <w:rsid w:val="007C133F"/>
    <w:rsid w:val="007C1C82"/>
    <w:rsid w:val="007C1F9B"/>
    <w:rsid w:val="007C216F"/>
    <w:rsid w:val="007C2E5C"/>
    <w:rsid w:val="007C31D0"/>
    <w:rsid w:val="007C323E"/>
    <w:rsid w:val="007C3667"/>
    <w:rsid w:val="007C3950"/>
    <w:rsid w:val="007C406C"/>
    <w:rsid w:val="007C4079"/>
    <w:rsid w:val="007C42CB"/>
    <w:rsid w:val="007C450F"/>
    <w:rsid w:val="007C469C"/>
    <w:rsid w:val="007C4758"/>
    <w:rsid w:val="007C4A5C"/>
    <w:rsid w:val="007C4C59"/>
    <w:rsid w:val="007C4FC3"/>
    <w:rsid w:val="007C542A"/>
    <w:rsid w:val="007C54BF"/>
    <w:rsid w:val="007C58B6"/>
    <w:rsid w:val="007C5DE0"/>
    <w:rsid w:val="007C6AC0"/>
    <w:rsid w:val="007C752B"/>
    <w:rsid w:val="007C7AFD"/>
    <w:rsid w:val="007D026B"/>
    <w:rsid w:val="007D05B9"/>
    <w:rsid w:val="007D0D52"/>
    <w:rsid w:val="007D12CD"/>
    <w:rsid w:val="007D13DC"/>
    <w:rsid w:val="007D13EB"/>
    <w:rsid w:val="007D2099"/>
    <w:rsid w:val="007D2177"/>
    <w:rsid w:val="007D230D"/>
    <w:rsid w:val="007D2935"/>
    <w:rsid w:val="007D2B5D"/>
    <w:rsid w:val="007D2F16"/>
    <w:rsid w:val="007D37FF"/>
    <w:rsid w:val="007D42C2"/>
    <w:rsid w:val="007D5A12"/>
    <w:rsid w:val="007D600F"/>
    <w:rsid w:val="007D6550"/>
    <w:rsid w:val="007D6946"/>
    <w:rsid w:val="007D6BC7"/>
    <w:rsid w:val="007D70A1"/>
    <w:rsid w:val="007D76C7"/>
    <w:rsid w:val="007D7AD5"/>
    <w:rsid w:val="007D7CEF"/>
    <w:rsid w:val="007E0504"/>
    <w:rsid w:val="007E0D7A"/>
    <w:rsid w:val="007E1076"/>
    <w:rsid w:val="007E1452"/>
    <w:rsid w:val="007E1AB6"/>
    <w:rsid w:val="007E202A"/>
    <w:rsid w:val="007E20FE"/>
    <w:rsid w:val="007E2FE1"/>
    <w:rsid w:val="007E36D1"/>
    <w:rsid w:val="007E4057"/>
    <w:rsid w:val="007E42B9"/>
    <w:rsid w:val="007E49E4"/>
    <w:rsid w:val="007E4AA1"/>
    <w:rsid w:val="007E516A"/>
    <w:rsid w:val="007E566A"/>
    <w:rsid w:val="007E570A"/>
    <w:rsid w:val="007E679E"/>
    <w:rsid w:val="007E695E"/>
    <w:rsid w:val="007E6AC5"/>
    <w:rsid w:val="007E745F"/>
    <w:rsid w:val="007E78C0"/>
    <w:rsid w:val="007E7B63"/>
    <w:rsid w:val="007F0053"/>
    <w:rsid w:val="007F00B3"/>
    <w:rsid w:val="007F087D"/>
    <w:rsid w:val="007F0A77"/>
    <w:rsid w:val="007F0C6C"/>
    <w:rsid w:val="007F0CA0"/>
    <w:rsid w:val="007F0DD0"/>
    <w:rsid w:val="007F1783"/>
    <w:rsid w:val="007F1D70"/>
    <w:rsid w:val="007F1FD5"/>
    <w:rsid w:val="007F28A0"/>
    <w:rsid w:val="007F2BF1"/>
    <w:rsid w:val="007F32F0"/>
    <w:rsid w:val="007F36A2"/>
    <w:rsid w:val="007F36EA"/>
    <w:rsid w:val="007F37C6"/>
    <w:rsid w:val="007F3B17"/>
    <w:rsid w:val="007F5171"/>
    <w:rsid w:val="007F5192"/>
    <w:rsid w:val="007F5309"/>
    <w:rsid w:val="007F5DEE"/>
    <w:rsid w:val="007F5F4D"/>
    <w:rsid w:val="007F6027"/>
    <w:rsid w:val="007F602B"/>
    <w:rsid w:val="007F6223"/>
    <w:rsid w:val="007F64A1"/>
    <w:rsid w:val="007F6520"/>
    <w:rsid w:val="007F652D"/>
    <w:rsid w:val="007F6675"/>
    <w:rsid w:val="007F6EE5"/>
    <w:rsid w:val="007F7115"/>
    <w:rsid w:val="007F7C86"/>
    <w:rsid w:val="007F7FB6"/>
    <w:rsid w:val="008001B8"/>
    <w:rsid w:val="00800F42"/>
    <w:rsid w:val="00801863"/>
    <w:rsid w:val="00801F8E"/>
    <w:rsid w:val="00801F9C"/>
    <w:rsid w:val="00801FF1"/>
    <w:rsid w:val="0080225F"/>
    <w:rsid w:val="00802715"/>
    <w:rsid w:val="008029B4"/>
    <w:rsid w:val="00802D7C"/>
    <w:rsid w:val="00802F31"/>
    <w:rsid w:val="008030BA"/>
    <w:rsid w:val="008035E6"/>
    <w:rsid w:val="00803F17"/>
    <w:rsid w:val="008041C4"/>
    <w:rsid w:val="0080451B"/>
    <w:rsid w:val="00805233"/>
    <w:rsid w:val="00805420"/>
    <w:rsid w:val="008054D4"/>
    <w:rsid w:val="008057D1"/>
    <w:rsid w:val="008057FE"/>
    <w:rsid w:val="008058C6"/>
    <w:rsid w:val="00805C93"/>
    <w:rsid w:val="00805E33"/>
    <w:rsid w:val="0080644D"/>
    <w:rsid w:val="00806E2D"/>
    <w:rsid w:val="0080734E"/>
    <w:rsid w:val="008077FB"/>
    <w:rsid w:val="0080796A"/>
    <w:rsid w:val="00807B55"/>
    <w:rsid w:val="00807F73"/>
    <w:rsid w:val="008109FA"/>
    <w:rsid w:val="00810B4F"/>
    <w:rsid w:val="00810BA3"/>
    <w:rsid w:val="00810F51"/>
    <w:rsid w:val="00811DAA"/>
    <w:rsid w:val="00811EDE"/>
    <w:rsid w:val="00811FCD"/>
    <w:rsid w:val="0081227B"/>
    <w:rsid w:val="008127DF"/>
    <w:rsid w:val="00813020"/>
    <w:rsid w:val="008142CD"/>
    <w:rsid w:val="00814856"/>
    <w:rsid w:val="00814898"/>
    <w:rsid w:val="00814CC9"/>
    <w:rsid w:val="00814D69"/>
    <w:rsid w:val="00814D86"/>
    <w:rsid w:val="0081522D"/>
    <w:rsid w:val="00815352"/>
    <w:rsid w:val="00816042"/>
    <w:rsid w:val="0081648E"/>
    <w:rsid w:val="008179D2"/>
    <w:rsid w:val="00817A62"/>
    <w:rsid w:val="008204E9"/>
    <w:rsid w:val="00820AFB"/>
    <w:rsid w:val="00820E34"/>
    <w:rsid w:val="00820EBC"/>
    <w:rsid w:val="0082126C"/>
    <w:rsid w:val="0082135C"/>
    <w:rsid w:val="00821740"/>
    <w:rsid w:val="00821B45"/>
    <w:rsid w:val="00821B85"/>
    <w:rsid w:val="008227D9"/>
    <w:rsid w:val="00822AAF"/>
    <w:rsid w:val="00822F52"/>
    <w:rsid w:val="0082317E"/>
    <w:rsid w:val="0082323B"/>
    <w:rsid w:val="008234D7"/>
    <w:rsid w:val="008235E3"/>
    <w:rsid w:val="00823C20"/>
    <w:rsid w:val="00823D26"/>
    <w:rsid w:val="00824315"/>
    <w:rsid w:val="008247C0"/>
    <w:rsid w:val="00824B06"/>
    <w:rsid w:val="00824E51"/>
    <w:rsid w:val="00824F37"/>
    <w:rsid w:val="008253A9"/>
    <w:rsid w:val="008256C8"/>
    <w:rsid w:val="008258FF"/>
    <w:rsid w:val="00826634"/>
    <w:rsid w:val="008267A2"/>
    <w:rsid w:val="00826C89"/>
    <w:rsid w:val="0082704C"/>
    <w:rsid w:val="008273AA"/>
    <w:rsid w:val="00827501"/>
    <w:rsid w:val="008277E0"/>
    <w:rsid w:val="00827EB0"/>
    <w:rsid w:val="008301C6"/>
    <w:rsid w:val="008301DC"/>
    <w:rsid w:val="0083023A"/>
    <w:rsid w:val="008304DA"/>
    <w:rsid w:val="008305AC"/>
    <w:rsid w:val="00830832"/>
    <w:rsid w:val="008309AC"/>
    <w:rsid w:val="00830B81"/>
    <w:rsid w:val="00830D03"/>
    <w:rsid w:val="008317D5"/>
    <w:rsid w:val="008319AF"/>
    <w:rsid w:val="00831F25"/>
    <w:rsid w:val="008323FC"/>
    <w:rsid w:val="008325DC"/>
    <w:rsid w:val="0083280D"/>
    <w:rsid w:val="00832B8F"/>
    <w:rsid w:val="00832F4B"/>
    <w:rsid w:val="0083460C"/>
    <w:rsid w:val="00834E9C"/>
    <w:rsid w:val="0083522A"/>
    <w:rsid w:val="008359D9"/>
    <w:rsid w:val="00835CA4"/>
    <w:rsid w:val="00835F74"/>
    <w:rsid w:val="00835FA9"/>
    <w:rsid w:val="00835FFC"/>
    <w:rsid w:val="008360C6"/>
    <w:rsid w:val="008368DE"/>
    <w:rsid w:val="0083699A"/>
    <w:rsid w:val="00836DCF"/>
    <w:rsid w:val="00836ECA"/>
    <w:rsid w:val="0083703C"/>
    <w:rsid w:val="00837046"/>
    <w:rsid w:val="0083734A"/>
    <w:rsid w:val="008375B2"/>
    <w:rsid w:val="008377A8"/>
    <w:rsid w:val="00837B9B"/>
    <w:rsid w:val="00837E5F"/>
    <w:rsid w:val="00837EAE"/>
    <w:rsid w:val="00840406"/>
    <w:rsid w:val="00840A43"/>
    <w:rsid w:val="008413F5"/>
    <w:rsid w:val="00841446"/>
    <w:rsid w:val="008414CB"/>
    <w:rsid w:val="008415A0"/>
    <w:rsid w:val="008429F6"/>
    <w:rsid w:val="00842E8B"/>
    <w:rsid w:val="008432D6"/>
    <w:rsid w:val="00843857"/>
    <w:rsid w:val="00843910"/>
    <w:rsid w:val="00843920"/>
    <w:rsid w:val="00843A48"/>
    <w:rsid w:val="00844A04"/>
    <w:rsid w:val="00845481"/>
    <w:rsid w:val="0084562B"/>
    <w:rsid w:val="00845676"/>
    <w:rsid w:val="00845856"/>
    <w:rsid w:val="0084585B"/>
    <w:rsid w:val="00845968"/>
    <w:rsid w:val="008469CF"/>
    <w:rsid w:val="00846C4F"/>
    <w:rsid w:val="0084746A"/>
    <w:rsid w:val="008477B2"/>
    <w:rsid w:val="00847945"/>
    <w:rsid w:val="00847C3C"/>
    <w:rsid w:val="00847F47"/>
    <w:rsid w:val="008507A6"/>
    <w:rsid w:val="00850B7A"/>
    <w:rsid w:val="00851EEB"/>
    <w:rsid w:val="00852144"/>
    <w:rsid w:val="00852660"/>
    <w:rsid w:val="008527EF"/>
    <w:rsid w:val="00852836"/>
    <w:rsid w:val="00852897"/>
    <w:rsid w:val="008530DE"/>
    <w:rsid w:val="008534EF"/>
    <w:rsid w:val="00853E22"/>
    <w:rsid w:val="00853EA6"/>
    <w:rsid w:val="00853EF4"/>
    <w:rsid w:val="00854253"/>
    <w:rsid w:val="00854608"/>
    <w:rsid w:val="00854771"/>
    <w:rsid w:val="008547A5"/>
    <w:rsid w:val="008548F9"/>
    <w:rsid w:val="00854E5D"/>
    <w:rsid w:val="0085544E"/>
    <w:rsid w:val="0085574B"/>
    <w:rsid w:val="00856094"/>
    <w:rsid w:val="00856466"/>
    <w:rsid w:val="008564D6"/>
    <w:rsid w:val="00856CD0"/>
    <w:rsid w:val="00856D30"/>
    <w:rsid w:val="00857401"/>
    <w:rsid w:val="0086018A"/>
    <w:rsid w:val="00860562"/>
    <w:rsid w:val="0086092B"/>
    <w:rsid w:val="00860EE4"/>
    <w:rsid w:val="00860F5C"/>
    <w:rsid w:val="008611A9"/>
    <w:rsid w:val="00861251"/>
    <w:rsid w:val="0086131F"/>
    <w:rsid w:val="008614D1"/>
    <w:rsid w:val="00861AD1"/>
    <w:rsid w:val="00861EDA"/>
    <w:rsid w:val="0086271F"/>
    <w:rsid w:val="0086310D"/>
    <w:rsid w:val="008632DE"/>
    <w:rsid w:val="008633E4"/>
    <w:rsid w:val="008634EE"/>
    <w:rsid w:val="00863630"/>
    <w:rsid w:val="00863D03"/>
    <w:rsid w:val="008643C6"/>
    <w:rsid w:val="00864E99"/>
    <w:rsid w:val="008657C7"/>
    <w:rsid w:val="008667C1"/>
    <w:rsid w:val="00866B76"/>
    <w:rsid w:val="00866D7A"/>
    <w:rsid w:val="00866EEA"/>
    <w:rsid w:val="008674C2"/>
    <w:rsid w:val="00867628"/>
    <w:rsid w:val="0086762F"/>
    <w:rsid w:val="008679BA"/>
    <w:rsid w:val="00867D93"/>
    <w:rsid w:val="00867DEC"/>
    <w:rsid w:val="00870222"/>
    <w:rsid w:val="00870460"/>
    <w:rsid w:val="008705C9"/>
    <w:rsid w:val="00870C84"/>
    <w:rsid w:val="00870EB6"/>
    <w:rsid w:val="00872284"/>
    <w:rsid w:val="0087263E"/>
    <w:rsid w:val="0087278D"/>
    <w:rsid w:val="00872B04"/>
    <w:rsid w:val="00872B50"/>
    <w:rsid w:val="0087338A"/>
    <w:rsid w:val="0087372F"/>
    <w:rsid w:val="00874129"/>
    <w:rsid w:val="008742FC"/>
    <w:rsid w:val="008744D3"/>
    <w:rsid w:val="008751D6"/>
    <w:rsid w:val="00875C09"/>
    <w:rsid w:val="00875C12"/>
    <w:rsid w:val="00875F81"/>
    <w:rsid w:val="00876330"/>
    <w:rsid w:val="00877070"/>
    <w:rsid w:val="008773CB"/>
    <w:rsid w:val="00877B92"/>
    <w:rsid w:val="00877C53"/>
    <w:rsid w:val="0088015D"/>
    <w:rsid w:val="008807C1"/>
    <w:rsid w:val="008808FD"/>
    <w:rsid w:val="0088098F"/>
    <w:rsid w:val="00880F66"/>
    <w:rsid w:val="00881472"/>
    <w:rsid w:val="0088163B"/>
    <w:rsid w:val="00881ED9"/>
    <w:rsid w:val="00881F31"/>
    <w:rsid w:val="00882312"/>
    <w:rsid w:val="00882BB1"/>
    <w:rsid w:val="008835ED"/>
    <w:rsid w:val="008835EE"/>
    <w:rsid w:val="008839CD"/>
    <w:rsid w:val="008840F9"/>
    <w:rsid w:val="008844AA"/>
    <w:rsid w:val="00884840"/>
    <w:rsid w:val="00884B8D"/>
    <w:rsid w:val="00884FCA"/>
    <w:rsid w:val="0088520E"/>
    <w:rsid w:val="0088545C"/>
    <w:rsid w:val="00885D45"/>
    <w:rsid w:val="00885DD3"/>
    <w:rsid w:val="00885FE4"/>
    <w:rsid w:val="00886595"/>
    <w:rsid w:val="0088668F"/>
    <w:rsid w:val="008867CC"/>
    <w:rsid w:val="008871C3"/>
    <w:rsid w:val="00887981"/>
    <w:rsid w:val="008900E3"/>
    <w:rsid w:val="00890ECE"/>
    <w:rsid w:val="00891084"/>
    <w:rsid w:val="00891729"/>
    <w:rsid w:val="0089184A"/>
    <w:rsid w:val="00891A07"/>
    <w:rsid w:val="00891BB9"/>
    <w:rsid w:val="00891E06"/>
    <w:rsid w:val="00892078"/>
    <w:rsid w:val="00892584"/>
    <w:rsid w:val="008925DD"/>
    <w:rsid w:val="008927F9"/>
    <w:rsid w:val="00892B8E"/>
    <w:rsid w:val="00892BA6"/>
    <w:rsid w:val="00893615"/>
    <w:rsid w:val="00893642"/>
    <w:rsid w:val="00893873"/>
    <w:rsid w:val="0089396C"/>
    <w:rsid w:val="00893CB8"/>
    <w:rsid w:val="008943FD"/>
    <w:rsid w:val="008944D2"/>
    <w:rsid w:val="00894DA3"/>
    <w:rsid w:val="008952EE"/>
    <w:rsid w:val="008955A4"/>
    <w:rsid w:val="00895917"/>
    <w:rsid w:val="00895BDD"/>
    <w:rsid w:val="00895D37"/>
    <w:rsid w:val="00895E09"/>
    <w:rsid w:val="0089719A"/>
    <w:rsid w:val="00897240"/>
    <w:rsid w:val="00897423"/>
    <w:rsid w:val="0089743F"/>
    <w:rsid w:val="0089747E"/>
    <w:rsid w:val="008975A2"/>
    <w:rsid w:val="008976F5"/>
    <w:rsid w:val="00897C6D"/>
    <w:rsid w:val="008A0688"/>
    <w:rsid w:val="008A0F07"/>
    <w:rsid w:val="008A118A"/>
    <w:rsid w:val="008A12E6"/>
    <w:rsid w:val="008A147D"/>
    <w:rsid w:val="008A1542"/>
    <w:rsid w:val="008A176B"/>
    <w:rsid w:val="008A19AC"/>
    <w:rsid w:val="008A1A73"/>
    <w:rsid w:val="008A1FF7"/>
    <w:rsid w:val="008A241B"/>
    <w:rsid w:val="008A24A9"/>
    <w:rsid w:val="008A26F3"/>
    <w:rsid w:val="008A2B32"/>
    <w:rsid w:val="008A2EBA"/>
    <w:rsid w:val="008A3299"/>
    <w:rsid w:val="008A387D"/>
    <w:rsid w:val="008A38C5"/>
    <w:rsid w:val="008A3BB2"/>
    <w:rsid w:val="008A3C19"/>
    <w:rsid w:val="008A43B0"/>
    <w:rsid w:val="008A463D"/>
    <w:rsid w:val="008A4F47"/>
    <w:rsid w:val="008A5024"/>
    <w:rsid w:val="008A50AE"/>
    <w:rsid w:val="008A51EB"/>
    <w:rsid w:val="008A5C88"/>
    <w:rsid w:val="008A5FFB"/>
    <w:rsid w:val="008A63A5"/>
    <w:rsid w:val="008A63DC"/>
    <w:rsid w:val="008A660A"/>
    <w:rsid w:val="008A672A"/>
    <w:rsid w:val="008A67F1"/>
    <w:rsid w:val="008A70F5"/>
    <w:rsid w:val="008A79EF"/>
    <w:rsid w:val="008A7B0E"/>
    <w:rsid w:val="008A7B55"/>
    <w:rsid w:val="008B056D"/>
    <w:rsid w:val="008B0A92"/>
    <w:rsid w:val="008B11F8"/>
    <w:rsid w:val="008B1606"/>
    <w:rsid w:val="008B1C2A"/>
    <w:rsid w:val="008B21F7"/>
    <w:rsid w:val="008B227E"/>
    <w:rsid w:val="008B23B8"/>
    <w:rsid w:val="008B27C5"/>
    <w:rsid w:val="008B2B27"/>
    <w:rsid w:val="008B2B79"/>
    <w:rsid w:val="008B3226"/>
    <w:rsid w:val="008B3255"/>
    <w:rsid w:val="008B36B3"/>
    <w:rsid w:val="008B3ACB"/>
    <w:rsid w:val="008B3C66"/>
    <w:rsid w:val="008B3CF5"/>
    <w:rsid w:val="008B4297"/>
    <w:rsid w:val="008B51F9"/>
    <w:rsid w:val="008B5A5E"/>
    <w:rsid w:val="008B63DB"/>
    <w:rsid w:val="008B6610"/>
    <w:rsid w:val="008B73FC"/>
    <w:rsid w:val="008B76DB"/>
    <w:rsid w:val="008B7D52"/>
    <w:rsid w:val="008C026C"/>
    <w:rsid w:val="008C0550"/>
    <w:rsid w:val="008C0828"/>
    <w:rsid w:val="008C0D09"/>
    <w:rsid w:val="008C11C0"/>
    <w:rsid w:val="008C17F9"/>
    <w:rsid w:val="008C2037"/>
    <w:rsid w:val="008C2B82"/>
    <w:rsid w:val="008C2FFB"/>
    <w:rsid w:val="008C30F4"/>
    <w:rsid w:val="008C37D8"/>
    <w:rsid w:val="008C3B54"/>
    <w:rsid w:val="008C3C0B"/>
    <w:rsid w:val="008C3CE1"/>
    <w:rsid w:val="008C3E35"/>
    <w:rsid w:val="008C460B"/>
    <w:rsid w:val="008C468F"/>
    <w:rsid w:val="008C4830"/>
    <w:rsid w:val="008C48AD"/>
    <w:rsid w:val="008C4B8F"/>
    <w:rsid w:val="008C4C2C"/>
    <w:rsid w:val="008C4E2D"/>
    <w:rsid w:val="008C5362"/>
    <w:rsid w:val="008C53D7"/>
    <w:rsid w:val="008C54ED"/>
    <w:rsid w:val="008C594B"/>
    <w:rsid w:val="008C656B"/>
    <w:rsid w:val="008C668D"/>
    <w:rsid w:val="008C6AF5"/>
    <w:rsid w:val="008C6E1F"/>
    <w:rsid w:val="008C73E4"/>
    <w:rsid w:val="008C74AA"/>
    <w:rsid w:val="008D0576"/>
    <w:rsid w:val="008D0E62"/>
    <w:rsid w:val="008D1168"/>
    <w:rsid w:val="008D159C"/>
    <w:rsid w:val="008D15A8"/>
    <w:rsid w:val="008D1602"/>
    <w:rsid w:val="008D1785"/>
    <w:rsid w:val="008D1E66"/>
    <w:rsid w:val="008D1EBD"/>
    <w:rsid w:val="008D2276"/>
    <w:rsid w:val="008D22A6"/>
    <w:rsid w:val="008D235C"/>
    <w:rsid w:val="008D263B"/>
    <w:rsid w:val="008D2C4E"/>
    <w:rsid w:val="008D2E64"/>
    <w:rsid w:val="008D2FB9"/>
    <w:rsid w:val="008D3B0D"/>
    <w:rsid w:val="008D4C15"/>
    <w:rsid w:val="008D4C4D"/>
    <w:rsid w:val="008D5116"/>
    <w:rsid w:val="008D51D6"/>
    <w:rsid w:val="008D56F0"/>
    <w:rsid w:val="008D5A42"/>
    <w:rsid w:val="008D5F99"/>
    <w:rsid w:val="008D6AAB"/>
    <w:rsid w:val="008D7EBA"/>
    <w:rsid w:val="008E09F3"/>
    <w:rsid w:val="008E0AA1"/>
    <w:rsid w:val="008E0CD4"/>
    <w:rsid w:val="008E1618"/>
    <w:rsid w:val="008E23CC"/>
    <w:rsid w:val="008E253B"/>
    <w:rsid w:val="008E2568"/>
    <w:rsid w:val="008E2A73"/>
    <w:rsid w:val="008E2F3F"/>
    <w:rsid w:val="008E30E3"/>
    <w:rsid w:val="008E3145"/>
    <w:rsid w:val="008E38E7"/>
    <w:rsid w:val="008E3B06"/>
    <w:rsid w:val="008E3B9A"/>
    <w:rsid w:val="008E3C8E"/>
    <w:rsid w:val="008E3ED2"/>
    <w:rsid w:val="008E42A3"/>
    <w:rsid w:val="008E4A51"/>
    <w:rsid w:val="008E514E"/>
    <w:rsid w:val="008E5886"/>
    <w:rsid w:val="008E59C3"/>
    <w:rsid w:val="008E59F6"/>
    <w:rsid w:val="008E5D2C"/>
    <w:rsid w:val="008E5F46"/>
    <w:rsid w:val="008E5F59"/>
    <w:rsid w:val="008E5F62"/>
    <w:rsid w:val="008E62B4"/>
    <w:rsid w:val="008E6751"/>
    <w:rsid w:val="008E6A35"/>
    <w:rsid w:val="008E6BB9"/>
    <w:rsid w:val="008E6BCB"/>
    <w:rsid w:val="008E6BE7"/>
    <w:rsid w:val="008E6F38"/>
    <w:rsid w:val="008E6FA9"/>
    <w:rsid w:val="008E7D96"/>
    <w:rsid w:val="008F015E"/>
    <w:rsid w:val="008F01EF"/>
    <w:rsid w:val="008F02CA"/>
    <w:rsid w:val="008F02D2"/>
    <w:rsid w:val="008F03CA"/>
    <w:rsid w:val="008F03F1"/>
    <w:rsid w:val="008F0611"/>
    <w:rsid w:val="008F087B"/>
    <w:rsid w:val="008F0B18"/>
    <w:rsid w:val="008F10E3"/>
    <w:rsid w:val="008F11D2"/>
    <w:rsid w:val="008F16CD"/>
    <w:rsid w:val="008F21E2"/>
    <w:rsid w:val="008F2389"/>
    <w:rsid w:val="008F2B03"/>
    <w:rsid w:val="008F2C02"/>
    <w:rsid w:val="008F2D77"/>
    <w:rsid w:val="008F34C7"/>
    <w:rsid w:val="008F36F2"/>
    <w:rsid w:val="008F41E4"/>
    <w:rsid w:val="008F4338"/>
    <w:rsid w:val="008F4680"/>
    <w:rsid w:val="008F4A03"/>
    <w:rsid w:val="008F5521"/>
    <w:rsid w:val="008F5F65"/>
    <w:rsid w:val="008F6022"/>
    <w:rsid w:val="008F66D1"/>
    <w:rsid w:val="008F6798"/>
    <w:rsid w:val="008F67B8"/>
    <w:rsid w:val="008F6931"/>
    <w:rsid w:val="008F6A44"/>
    <w:rsid w:val="008F6B9F"/>
    <w:rsid w:val="008F6BFC"/>
    <w:rsid w:val="008F6E2F"/>
    <w:rsid w:val="008F72E0"/>
    <w:rsid w:val="008F78A9"/>
    <w:rsid w:val="009000F5"/>
    <w:rsid w:val="0090016B"/>
    <w:rsid w:val="00900D42"/>
    <w:rsid w:val="00901601"/>
    <w:rsid w:val="00901DEF"/>
    <w:rsid w:val="009022F3"/>
    <w:rsid w:val="00902370"/>
    <w:rsid w:val="009026FD"/>
    <w:rsid w:val="0090271F"/>
    <w:rsid w:val="00902742"/>
    <w:rsid w:val="00902BA0"/>
    <w:rsid w:val="00902E0E"/>
    <w:rsid w:val="00902FCC"/>
    <w:rsid w:val="009032C5"/>
    <w:rsid w:val="00903930"/>
    <w:rsid w:val="00903B50"/>
    <w:rsid w:val="00903FAC"/>
    <w:rsid w:val="00903FC3"/>
    <w:rsid w:val="0090447A"/>
    <w:rsid w:val="0090469D"/>
    <w:rsid w:val="00904958"/>
    <w:rsid w:val="00904EEB"/>
    <w:rsid w:val="00905070"/>
    <w:rsid w:val="00905339"/>
    <w:rsid w:val="00905377"/>
    <w:rsid w:val="00905696"/>
    <w:rsid w:val="009059CC"/>
    <w:rsid w:val="00905D91"/>
    <w:rsid w:val="00905EB8"/>
    <w:rsid w:val="00905FCE"/>
    <w:rsid w:val="00905FE7"/>
    <w:rsid w:val="00906CC0"/>
    <w:rsid w:val="00907224"/>
    <w:rsid w:val="00907342"/>
    <w:rsid w:val="0090743E"/>
    <w:rsid w:val="009075E3"/>
    <w:rsid w:val="00907C21"/>
    <w:rsid w:val="00910511"/>
    <w:rsid w:val="009105FC"/>
    <w:rsid w:val="0091088E"/>
    <w:rsid w:val="00910D63"/>
    <w:rsid w:val="00910E23"/>
    <w:rsid w:val="00911972"/>
    <w:rsid w:val="009120F0"/>
    <w:rsid w:val="009121DD"/>
    <w:rsid w:val="00912337"/>
    <w:rsid w:val="00912614"/>
    <w:rsid w:val="00912D10"/>
    <w:rsid w:val="00913018"/>
    <w:rsid w:val="00913301"/>
    <w:rsid w:val="009138B2"/>
    <w:rsid w:val="00913F79"/>
    <w:rsid w:val="00914A57"/>
    <w:rsid w:val="00914AE5"/>
    <w:rsid w:val="00915652"/>
    <w:rsid w:val="00916001"/>
    <w:rsid w:val="00916296"/>
    <w:rsid w:val="00916844"/>
    <w:rsid w:val="00916C9B"/>
    <w:rsid w:val="00916CE9"/>
    <w:rsid w:val="009170E7"/>
    <w:rsid w:val="0091732C"/>
    <w:rsid w:val="009178DB"/>
    <w:rsid w:val="00917F0D"/>
    <w:rsid w:val="009200DA"/>
    <w:rsid w:val="0092119B"/>
    <w:rsid w:val="0092158D"/>
    <w:rsid w:val="009215B9"/>
    <w:rsid w:val="00921E1F"/>
    <w:rsid w:val="00922378"/>
    <w:rsid w:val="009225BD"/>
    <w:rsid w:val="0092289A"/>
    <w:rsid w:val="00922D34"/>
    <w:rsid w:val="00922EE0"/>
    <w:rsid w:val="00923B11"/>
    <w:rsid w:val="00923D3A"/>
    <w:rsid w:val="00923F06"/>
    <w:rsid w:val="009247CA"/>
    <w:rsid w:val="00924F06"/>
    <w:rsid w:val="00925557"/>
    <w:rsid w:val="0092559F"/>
    <w:rsid w:val="00925A50"/>
    <w:rsid w:val="00925B53"/>
    <w:rsid w:val="00925BB9"/>
    <w:rsid w:val="00925CE7"/>
    <w:rsid w:val="00925DBA"/>
    <w:rsid w:val="00925E2E"/>
    <w:rsid w:val="00926927"/>
    <w:rsid w:val="00926CC7"/>
    <w:rsid w:val="00926F6D"/>
    <w:rsid w:val="00926F94"/>
    <w:rsid w:val="009273CD"/>
    <w:rsid w:val="009276E8"/>
    <w:rsid w:val="009300D0"/>
    <w:rsid w:val="00930201"/>
    <w:rsid w:val="00930A7F"/>
    <w:rsid w:val="009316C4"/>
    <w:rsid w:val="009316F9"/>
    <w:rsid w:val="0093170D"/>
    <w:rsid w:val="009318BA"/>
    <w:rsid w:val="00931B56"/>
    <w:rsid w:val="00931FD3"/>
    <w:rsid w:val="00932384"/>
    <w:rsid w:val="00932689"/>
    <w:rsid w:val="009328BF"/>
    <w:rsid w:val="00932E90"/>
    <w:rsid w:val="009333F4"/>
    <w:rsid w:val="009335B4"/>
    <w:rsid w:val="009335F3"/>
    <w:rsid w:val="009337E0"/>
    <w:rsid w:val="009339D9"/>
    <w:rsid w:val="00933A94"/>
    <w:rsid w:val="00933B07"/>
    <w:rsid w:val="00933B97"/>
    <w:rsid w:val="00933D56"/>
    <w:rsid w:val="009345AF"/>
    <w:rsid w:val="0093467B"/>
    <w:rsid w:val="0093469F"/>
    <w:rsid w:val="0093478B"/>
    <w:rsid w:val="00934940"/>
    <w:rsid w:val="00934DC3"/>
    <w:rsid w:val="00934F81"/>
    <w:rsid w:val="0093510B"/>
    <w:rsid w:val="00935532"/>
    <w:rsid w:val="00935672"/>
    <w:rsid w:val="009357C2"/>
    <w:rsid w:val="00935B11"/>
    <w:rsid w:val="0093616F"/>
    <w:rsid w:val="00936E45"/>
    <w:rsid w:val="009371E5"/>
    <w:rsid w:val="00937235"/>
    <w:rsid w:val="00937352"/>
    <w:rsid w:val="009376B1"/>
    <w:rsid w:val="00937725"/>
    <w:rsid w:val="00937ABA"/>
    <w:rsid w:val="00937B0C"/>
    <w:rsid w:val="009400D1"/>
    <w:rsid w:val="00940230"/>
    <w:rsid w:val="009407B5"/>
    <w:rsid w:val="00940CBE"/>
    <w:rsid w:val="00940F4E"/>
    <w:rsid w:val="00941B6D"/>
    <w:rsid w:val="00942964"/>
    <w:rsid w:val="00942D78"/>
    <w:rsid w:val="00942EC7"/>
    <w:rsid w:val="009433AD"/>
    <w:rsid w:val="009433B6"/>
    <w:rsid w:val="00943834"/>
    <w:rsid w:val="00943EAB"/>
    <w:rsid w:val="00943ECD"/>
    <w:rsid w:val="009442D7"/>
    <w:rsid w:val="009442E1"/>
    <w:rsid w:val="00945799"/>
    <w:rsid w:val="00945B44"/>
    <w:rsid w:val="00945F12"/>
    <w:rsid w:val="0094608D"/>
    <w:rsid w:val="009462B5"/>
    <w:rsid w:val="009469FE"/>
    <w:rsid w:val="00946AA4"/>
    <w:rsid w:val="009471A4"/>
    <w:rsid w:val="009476B4"/>
    <w:rsid w:val="009476EC"/>
    <w:rsid w:val="00947862"/>
    <w:rsid w:val="009503C0"/>
    <w:rsid w:val="009504C2"/>
    <w:rsid w:val="00950557"/>
    <w:rsid w:val="00950A07"/>
    <w:rsid w:val="00950CA8"/>
    <w:rsid w:val="00950CD6"/>
    <w:rsid w:val="00950E97"/>
    <w:rsid w:val="009511D8"/>
    <w:rsid w:val="00951AA0"/>
    <w:rsid w:val="00952A26"/>
    <w:rsid w:val="00952C06"/>
    <w:rsid w:val="00953563"/>
    <w:rsid w:val="0095358A"/>
    <w:rsid w:val="00953709"/>
    <w:rsid w:val="009537A7"/>
    <w:rsid w:val="00953898"/>
    <w:rsid w:val="00953B4F"/>
    <w:rsid w:val="00953BB6"/>
    <w:rsid w:val="00953BE5"/>
    <w:rsid w:val="0095467B"/>
    <w:rsid w:val="00954726"/>
    <w:rsid w:val="0095505E"/>
    <w:rsid w:val="00955233"/>
    <w:rsid w:val="009554C3"/>
    <w:rsid w:val="00955CC3"/>
    <w:rsid w:val="009560B5"/>
    <w:rsid w:val="00956B20"/>
    <w:rsid w:val="00956EB9"/>
    <w:rsid w:val="00957218"/>
    <w:rsid w:val="0095731C"/>
    <w:rsid w:val="00957591"/>
    <w:rsid w:val="009578F1"/>
    <w:rsid w:val="00957ECE"/>
    <w:rsid w:val="0096023A"/>
    <w:rsid w:val="00960889"/>
    <w:rsid w:val="00960A38"/>
    <w:rsid w:val="00960C3B"/>
    <w:rsid w:val="00960D6C"/>
    <w:rsid w:val="00961263"/>
    <w:rsid w:val="00961287"/>
    <w:rsid w:val="00961693"/>
    <w:rsid w:val="009618E1"/>
    <w:rsid w:val="00961F5D"/>
    <w:rsid w:val="0096225E"/>
    <w:rsid w:val="00962E50"/>
    <w:rsid w:val="00963524"/>
    <w:rsid w:val="009644EF"/>
    <w:rsid w:val="00964682"/>
    <w:rsid w:val="00965107"/>
    <w:rsid w:val="009655BC"/>
    <w:rsid w:val="00965628"/>
    <w:rsid w:val="00965C5B"/>
    <w:rsid w:val="00965F52"/>
    <w:rsid w:val="00965F7C"/>
    <w:rsid w:val="00966093"/>
    <w:rsid w:val="00966316"/>
    <w:rsid w:val="00966351"/>
    <w:rsid w:val="009663BF"/>
    <w:rsid w:val="009669EF"/>
    <w:rsid w:val="009674DF"/>
    <w:rsid w:val="009707E6"/>
    <w:rsid w:val="00970869"/>
    <w:rsid w:val="00970BB5"/>
    <w:rsid w:val="00970D9C"/>
    <w:rsid w:val="009711BA"/>
    <w:rsid w:val="00971FD0"/>
    <w:rsid w:val="009728FA"/>
    <w:rsid w:val="00972C10"/>
    <w:rsid w:val="00972FF3"/>
    <w:rsid w:val="0097362D"/>
    <w:rsid w:val="00973AD1"/>
    <w:rsid w:val="009740EC"/>
    <w:rsid w:val="0097508D"/>
    <w:rsid w:val="0097657C"/>
    <w:rsid w:val="009766B2"/>
    <w:rsid w:val="00977007"/>
    <w:rsid w:val="00977318"/>
    <w:rsid w:val="00977895"/>
    <w:rsid w:val="00977AB5"/>
    <w:rsid w:val="00977D2E"/>
    <w:rsid w:val="00977DBA"/>
    <w:rsid w:val="00977ECA"/>
    <w:rsid w:val="0098011C"/>
    <w:rsid w:val="0098054F"/>
    <w:rsid w:val="00980961"/>
    <w:rsid w:val="00980CEF"/>
    <w:rsid w:val="00980D9B"/>
    <w:rsid w:val="00980E23"/>
    <w:rsid w:val="009811A0"/>
    <w:rsid w:val="009815A0"/>
    <w:rsid w:val="00981789"/>
    <w:rsid w:val="009824EF"/>
    <w:rsid w:val="00982A2B"/>
    <w:rsid w:val="00982BEE"/>
    <w:rsid w:val="009831A7"/>
    <w:rsid w:val="0098321A"/>
    <w:rsid w:val="009833B5"/>
    <w:rsid w:val="0098349E"/>
    <w:rsid w:val="00983791"/>
    <w:rsid w:val="00983E07"/>
    <w:rsid w:val="009844C3"/>
    <w:rsid w:val="009846C7"/>
    <w:rsid w:val="00984AA1"/>
    <w:rsid w:val="00984B2C"/>
    <w:rsid w:val="00984F86"/>
    <w:rsid w:val="009852C0"/>
    <w:rsid w:val="00985A58"/>
    <w:rsid w:val="00985A95"/>
    <w:rsid w:val="00985C16"/>
    <w:rsid w:val="00986568"/>
    <w:rsid w:val="00986A1C"/>
    <w:rsid w:val="00986FA4"/>
    <w:rsid w:val="009871B3"/>
    <w:rsid w:val="0098733D"/>
    <w:rsid w:val="0098738A"/>
    <w:rsid w:val="00987429"/>
    <w:rsid w:val="00987430"/>
    <w:rsid w:val="0098793E"/>
    <w:rsid w:val="00987955"/>
    <w:rsid w:val="00987A4E"/>
    <w:rsid w:val="00991583"/>
    <w:rsid w:val="00991C65"/>
    <w:rsid w:val="0099213C"/>
    <w:rsid w:val="0099289A"/>
    <w:rsid w:val="00992917"/>
    <w:rsid w:val="00992A9B"/>
    <w:rsid w:val="00992FDC"/>
    <w:rsid w:val="00993766"/>
    <w:rsid w:val="009942A1"/>
    <w:rsid w:val="009942C3"/>
    <w:rsid w:val="00994517"/>
    <w:rsid w:val="00994BA1"/>
    <w:rsid w:val="00994BE6"/>
    <w:rsid w:val="0099571E"/>
    <w:rsid w:val="009959FD"/>
    <w:rsid w:val="00995E73"/>
    <w:rsid w:val="009963AD"/>
    <w:rsid w:val="00996BE2"/>
    <w:rsid w:val="00996C9C"/>
    <w:rsid w:val="00996DBF"/>
    <w:rsid w:val="009973C1"/>
    <w:rsid w:val="00997767"/>
    <w:rsid w:val="00997D79"/>
    <w:rsid w:val="00997F06"/>
    <w:rsid w:val="009A0412"/>
    <w:rsid w:val="009A0472"/>
    <w:rsid w:val="009A0E49"/>
    <w:rsid w:val="009A0E62"/>
    <w:rsid w:val="009A1C11"/>
    <w:rsid w:val="009A1C95"/>
    <w:rsid w:val="009A27CD"/>
    <w:rsid w:val="009A2DDF"/>
    <w:rsid w:val="009A2EE5"/>
    <w:rsid w:val="009A401C"/>
    <w:rsid w:val="009A4295"/>
    <w:rsid w:val="009A4956"/>
    <w:rsid w:val="009A51F3"/>
    <w:rsid w:val="009A53C4"/>
    <w:rsid w:val="009A54B9"/>
    <w:rsid w:val="009A5E37"/>
    <w:rsid w:val="009A5ED8"/>
    <w:rsid w:val="009A60DF"/>
    <w:rsid w:val="009A62FA"/>
    <w:rsid w:val="009A6682"/>
    <w:rsid w:val="009A6BD1"/>
    <w:rsid w:val="009A72DB"/>
    <w:rsid w:val="009A7312"/>
    <w:rsid w:val="009A7334"/>
    <w:rsid w:val="009A7360"/>
    <w:rsid w:val="009A7A57"/>
    <w:rsid w:val="009A7AC9"/>
    <w:rsid w:val="009B0291"/>
    <w:rsid w:val="009B06A2"/>
    <w:rsid w:val="009B082C"/>
    <w:rsid w:val="009B0A4E"/>
    <w:rsid w:val="009B0DC5"/>
    <w:rsid w:val="009B1C46"/>
    <w:rsid w:val="009B1EB5"/>
    <w:rsid w:val="009B1FA2"/>
    <w:rsid w:val="009B2149"/>
    <w:rsid w:val="009B242F"/>
    <w:rsid w:val="009B26F7"/>
    <w:rsid w:val="009B2886"/>
    <w:rsid w:val="009B2E7D"/>
    <w:rsid w:val="009B301C"/>
    <w:rsid w:val="009B39E8"/>
    <w:rsid w:val="009B3DD4"/>
    <w:rsid w:val="009B3E46"/>
    <w:rsid w:val="009B46E8"/>
    <w:rsid w:val="009B4922"/>
    <w:rsid w:val="009B4EAD"/>
    <w:rsid w:val="009B5135"/>
    <w:rsid w:val="009B56B9"/>
    <w:rsid w:val="009B5768"/>
    <w:rsid w:val="009B5878"/>
    <w:rsid w:val="009B5D62"/>
    <w:rsid w:val="009B5DA3"/>
    <w:rsid w:val="009B6564"/>
    <w:rsid w:val="009B6F3E"/>
    <w:rsid w:val="009B6FD3"/>
    <w:rsid w:val="009B7A5C"/>
    <w:rsid w:val="009C0114"/>
    <w:rsid w:val="009C034E"/>
    <w:rsid w:val="009C0407"/>
    <w:rsid w:val="009C041C"/>
    <w:rsid w:val="009C06C0"/>
    <w:rsid w:val="009C07AA"/>
    <w:rsid w:val="009C17A1"/>
    <w:rsid w:val="009C1AA9"/>
    <w:rsid w:val="009C2059"/>
    <w:rsid w:val="009C32D5"/>
    <w:rsid w:val="009C3502"/>
    <w:rsid w:val="009C3833"/>
    <w:rsid w:val="009C447F"/>
    <w:rsid w:val="009C465B"/>
    <w:rsid w:val="009C4768"/>
    <w:rsid w:val="009C482F"/>
    <w:rsid w:val="009C4842"/>
    <w:rsid w:val="009C5C0E"/>
    <w:rsid w:val="009C5C53"/>
    <w:rsid w:val="009C65C5"/>
    <w:rsid w:val="009C687F"/>
    <w:rsid w:val="009C6F3F"/>
    <w:rsid w:val="009C7010"/>
    <w:rsid w:val="009C7570"/>
    <w:rsid w:val="009C7DC9"/>
    <w:rsid w:val="009C7F09"/>
    <w:rsid w:val="009D03DB"/>
    <w:rsid w:val="009D1288"/>
    <w:rsid w:val="009D1438"/>
    <w:rsid w:val="009D18D4"/>
    <w:rsid w:val="009D1AFA"/>
    <w:rsid w:val="009D1B73"/>
    <w:rsid w:val="009D1F5A"/>
    <w:rsid w:val="009D3422"/>
    <w:rsid w:val="009D351A"/>
    <w:rsid w:val="009D4A9C"/>
    <w:rsid w:val="009D53E6"/>
    <w:rsid w:val="009D556A"/>
    <w:rsid w:val="009D59E1"/>
    <w:rsid w:val="009D5C50"/>
    <w:rsid w:val="009D6426"/>
    <w:rsid w:val="009D6C2A"/>
    <w:rsid w:val="009D6C91"/>
    <w:rsid w:val="009D7174"/>
    <w:rsid w:val="009D7949"/>
    <w:rsid w:val="009D7C59"/>
    <w:rsid w:val="009E07F3"/>
    <w:rsid w:val="009E1144"/>
    <w:rsid w:val="009E137B"/>
    <w:rsid w:val="009E180C"/>
    <w:rsid w:val="009E1C05"/>
    <w:rsid w:val="009E2062"/>
    <w:rsid w:val="009E262D"/>
    <w:rsid w:val="009E264C"/>
    <w:rsid w:val="009E2794"/>
    <w:rsid w:val="009E2989"/>
    <w:rsid w:val="009E2B83"/>
    <w:rsid w:val="009E2BDC"/>
    <w:rsid w:val="009E30AB"/>
    <w:rsid w:val="009E30C1"/>
    <w:rsid w:val="009E31AC"/>
    <w:rsid w:val="009E325E"/>
    <w:rsid w:val="009E3629"/>
    <w:rsid w:val="009E3F5B"/>
    <w:rsid w:val="009E5513"/>
    <w:rsid w:val="009E5666"/>
    <w:rsid w:val="009E5EE4"/>
    <w:rsid w:val="009E5F0B"/>
    <w:rsid w:val="009E62AF"/>
    <w:rsid w:val="009E63A3"/>
    <w:rsid w:val="009E6E0A"/>
    <w:rsid w:val="009E7556"/>
    <w:rsid w:val="009E7646"/>
    <w:rsid w:val="009E7807"/>
    <w:rsid w:val="009E7AAF"/>
    <w:rsid w:val="009E7F2A"/>
    <w:rsid w:val="009F02F7"/>
    <w:rsid w:val="009F08E3"/>
    <w:rsid w:val="009F0AF4"/>
    <w:rsid w:val="009F0BA7"/>
    <w:rsid w:val="009F0C62"/>
    <w:rsid w:val="009F10E2"/>
    <w:rsid w:val="009F1371"/>
    <w:rsid w:val="009F1D32"/>
    <w:rsid w:val="009F1FF4"/>
    <w:rsid w:val="009F268D"/>
    <w:rsid w:val="009F2E1C"/>
    <w:rsid w:val="009F2F15"/>
    <w:rsid w:val="009F3458"/>
    <w:rsid w:val="009F3565"/>
    <w:rsid w:val="009F3C4B"/>
    <w:rsid w:val="009F3D80"/>
    <w:rsid w:val="009F3FF2"/>
    <w:rsid w:val="009F40D5"/>
    <w:rsid w:val="009F42D5"/>
    <w:rsid w:val="009F48A9"/>
    <w:rsid w:val="009F4CFB"/>
    <w:rsid w:val="009F4D21"/>
    <w:rsid w:val="009F62D3"/>
    <w:rsid w:val="009F63EB"/>
    <w:rsid w:val="009F6AC2"/>
    <w:rsid w:val="009F7202"/>
    <w:rsid w:val="009F739B"/>
    <w:rsid w:val="009F75ED"/>
    <w:rsid w:val="009F7D25"/>
    <w:rsid w:val="009F7EE8"/>
    <w:rsid w:val="009F7F49"/>
    <w:rsid w:val="00A004A2"/>
    <w:rsid w:val="00A00C15"/>
    <w:rsid w:val="00A01369"/>
    <w:rsid w:val="00A01377"/>
    <w:rsid w:val="00A01387"/>
    <w:rsid w:val="00A0197D"/>
    <w:rsid w:val="00A01F4C"/>
    <w:rsid w:val="00A022EB"/>
    <w:rsid w:val="00A025F4"/>
    <w:rsid w:val="00A026EF"/>
    <w:rsid w:val="00A027E6"/>
    <w:rsid w:val="00A02A7F"/>
    <w:rsid w:val="00A02C5F"/>
    <w:rsid w:val="00A0368D"/>
    <w:rsid w:val="00A03F26"/>
    <w:rsid w:val="00A03F4D"/>
    <w:rsid w:val="00A04263"/>
    <w:rsid w:val="00A043A9"/>
    <w:rsid w:val="00A04627"/>
    <w:rsid w:val="00A04B0C"/>
    <w:rsid w:val="00A04E69"/>
    <w:rsid w:val="00A04F00"/>
    <w:rsid w:val="00A05309"/>
    <w:rsid w:val="00A05B02"/>
    <w:rsid w:val="00A05C01"/>
    <w:rsid w:val="00A05EBA"/>
    <w:rsid w:val="00A06110"/>
    <w:rsid w:val="00A0645E"/>
    <w:rsid w:val="00A0646A"/>
    <w:rsid w:val="00A06548"/>
    <w:rsid w:val="00A06642"/>
    <w:rsid w:val="00A066BE"/>
    <w:rsid w:val="00A06AE8"/>
    <w:rsid w:val="00A06B37"/>
    <w:rsid w:val="00A06EBB"/>
    <w:rsid w:val="00A07229"/>
    <w:rsid w:val="00A07C7D"/>
    <w:rsid w:val="00A100A8"/>
    <w:rsid w:val="00A1077F"/>
    <w:rsid w:val="00A109A1"/>
    <w:rsid w:val="00A10BC0"/>
    <w:rsid w:val="00A10F0A"/>
    <w:rsid w:val="00A11426"/>
    <w:rsid w:val="00A117A6"/>
    <w:rsid w:val="00A11A3C"/>
    <w:rsid w:val="00A11B75"/>
    <w:rsid w:val="00A12049"/>
    <w:rsid w:val="00A12A8C"/>
    <w:rsid w:val="00A12C48"/>
    <w:rsid w:val="00A12CCF"/>
    <w:rsid w:val="00A1375C"/>
    <w:rsid w:val="00A139DA"/>
    <w:rsid w:val="00A13BAC"/>
    <w:rsid w:val="00A13CB0"/>
    <w:rsid w:val="00A1415C"/>
    <w:rsid w:val="00A14238"/>
    <w:rsid w:val="00A1429F"/>
    <w:rsid w:val="00A142BE"/>
    <w:rsid w:val="00A16124"/>
    <w:rsid w:val="00A166E0"/>
    <w:rsid w:val="00A16E0F"/>
    <w:rsid w:val="00A1766E"/>
    <w:rsid w:val="00A1794E"/>
    <w:rsid w:val="00A17E37"/>
    <w:rsid w:val="00A2091B"/>
    <w:rsid w:val="00A21002"/>
    <w:rsid w:val="00A21ADE"/>
    <w:rsid w:val="00A21D02"/>
    <w:rsid w:val="00A21D3C"/>
    <w:rsid w:val="00A21DDF"/>
    <w:rsid w:val="00A21E70"/>
    <w:rsid w:val="00A21EA8"/>
    <w:rsid w:val="00A228C6"/>
    <w:rsid w:val="00A22B13"/>
    <w:rsid w:val="00A22F39"/>
    <w:rsid w:val="00A22F78"/>
    <w:rsid w:val="00A22F9F"/>
    <w:rsid w:val="00A23488"/>
    <w:rsid w:val="00A23528"/>
    <w:rsid w:val="00A242CB"/>
    <w:rsid w:val="00A2443C"/>
    <w:rsid w:val="00A244A8"/>
    <w:rsid w:val="00A24518"/>
    <w:rsid w:val="00A24588"/>
    <w:rsid w:val="00A24AE9"/>
    <w:rsid w:val="00A24E8D"/>
    <w:rsid w:val="00A25A59"/>
    <w:rsid w:val="00A25BF8"/>
    <w:rsid w:val="00A27297"/>
    <w:rsid w:val="00A2739A"/>
    <w:rsid w:val="00A27410"/>
    <w:rsid w:val="00A274FB"/>
    <w:rsid w:val="00A27AF6"/>
    <w:rsid w:val="00A30336"/>
    <w:rsid w:val="00A305A6"/>
    <w:rsid w:val="00A305AE"/>
    <w:rsid w:val="00A30870"/>
    <w:rsid w:val="00A308B3"/>
    <w:rsid w:val="00A30BDD"/>
    <w:rsid w:val="00A30D08"/>
    <w:rsid w:val="00A30E02"/>
    <w:rsid w:val="00A311B3"/>
    <w:rsid w:val="00A31323"/>
    <w:rsid w:val="00A31A10"/>
    <w:rsid w:val="00A31AB2"/>
    <w:rsid w:val="00A31FFF"/>
    <w:rsid w:val="00A32246"/>
    <w:rsid w:val="00A322C7"/>
    <w:rsid w:val="00A326B3"/>
    <w:rsid w:val="00A32917"/>
    <w:rsid w:val="00A32D09"/>
    <w:rsid w:val="00A3315D"/>
    <w:rsid w:val="00A333F6"/>
    <w:rsid w:val="00A33756"/>
    <w:rsid w:val="00A33FE9"/>
    <w:rsid w:val="00A34555"/>
    <w:rsid w:val="00A34718"/>
    <w:rsid w:val="00A3474C"/>
    <w:rsid w:val="00A347B5"/>
    <w:rsid w:val="00A349FB"/>
    <w:rsid w:val="00A34A45"/>
    <w:rsid w:val="00A3527F"/>
    <w:rsid w:val="00A35B16"/>
    <w:rsid w:val="00A35B53"/>
    <w:rsid w:val="00A35CF6"/>
    <w:rsid w:val="00A35F7A"/>
    <w:rsid w:val="00A3605A"/>
    <w:rsid w:val="00A3625B"/>
    <w:rsid w:val="00A362EF"/>
    <w:rsid w:val="00A368B8"/>
    <w:rsid w:val="00A36A5D"/>
    <w:rsid w:val="00A36E49"/>
    <w:rsid w:val="00A36EC6"/>
    <w:rsid w:val="00A36EFB"/>
    <w:rsid w:val="00A37777"/>
    <w:rsid w:val="00A3778D"/>
    <w:rsid w:val="00A37DF2"/>
    <w:rsid w:val="00A40251"/>
    <w:rsid w:val="00A406EA"/>
    <w:rsid w:val="00A4080E"/>
    <w:rsid w:val="00A40B0A"/>
    <w:rsid w:val="00A40C1E"/>
    <w:rsid w:val="00A40D52"/>
    <w:rsid w:val="00A4157F"/>
    <w:rsid w:val="00A41ECF"/>
    <w:rsid w:val="00A426F8"/>
    <w:rsid w:val="00A42749"/>
    <w:rsid w:val="00A427AE"/>
    <w:rsid w:val="00A42F3D"/>
    <w:rsid w:val="00A42FC0"/>
    <w:rsid w:val="00A4309F"/>
    <w:rsid w:val="00A431F6"/>
    <w:rsid w:val="00A43896"/>
    <w:rsid w:val="00A43AF6"/>
    <w:rsid w:val="00A440A8"/>
    <w:rsid w:val="00A4415F"/>
    <w:rsid w:val="00A44949"/>
    <w:rsid w:val="00A45283"/>
    <w:rsid w:val="00A455DD"/>
    <w:rsid w:val="00A4590F"/>
    <w:rsid w:val="00A4592D"/>
    <w:rsid w:val="00A46327"/>
    <w:rsid w:val="00A468BC"/>
    <w:rsid w:val="00A4690E"/>
    <w:rsid w:val="00A46AC0"/>
    <w:rsid w:val="00A4737D"/>
    <w:rsid w:val="00A4738B"/>
    <w:rsid w:val="00A474CB"/>
    <w:rsid w:val="00A475B3"/>
    <w:rsid w:val="00A475C2"/>
    <w:rsid w:val="00A50184"/>
    <w:rsid w:val="00A50B93"/>
    <w:rsid w:val="00A50C81"/>
    <w:rsid w:val="00A50DB6"/>
    <w:rsid w:val="00A51034"/>
    <w:rsid w:val="00A51277"/>
    <w:rsid w:val="00A517E8"/>
    <w:rsid w:val="00A51D9C"/>
    <w:rsid w:val="00A51F5E"/>
    <w:rsid w:val="00A52324"/>
    <w:rsid w:val="00A52863"/>
    <w:rsid w:val="00A52E55"/>
    <w:rsid w:val="00A53264"/>
    <w:rsid w:val="00A53873"/>
    <w:rsid w:val="00A53C72"/>
    <w:rsid w:val="00A53FEE"/>
    <w:rsid w:val="00A5415A"/>
    <w:rsid w:val="00A544FA"/>
    <w:rsid w:val="00A54F76"/>
    <w:rsid w:val="00A55107"/>
    <w:rsid w:val="00A55202"/>
    <w:rsid w:val="00A556B3"/>
    <w:rsid w:val="00A55E28"/>
    <w:rsid w:val="00A55E8B"/>
    <w:rsid w:val="00A55F14"/>
    <w:rsid w:val="00A5611C"/>
    <w:rsid w:val="00A567A6"/>
    <w:rsid w:val="00A56831"/>
    <w:rsid w:val="00A57031"/>
    <w:rsid w:val="00A575AB"/>
    <w:rsid w:val="00A57667"/>
    <w:rsid w:val="00A576F4"/>
    <w:rsid w:val="00A60293"/>
    <w:rsid w:val="00A607DD"/>
    <w:rsid w:val="00A60ABA"/>
    <w:rsid w:val="00A6170D"/>
    <w:rsid w:val="00A61A08"/>
    <w:rsid w:val="00A61F0C"/>
    <w:rsid w:val="00A62AFC"/>
    <w:rsid w:val="00A62C2C"/>
    <w:rsid w:val="00A62FFF"/>
    <w:rsid w:val="00A63769"/>
    <w:rsid w:val="00A63B89"/>
    <w:rsid w:val="00A63C25"/>
    <w:rsid w:val="00A63F3A"/>
    <w:rsid w:val="00A643AA"/>
    <w:rsid w:val="00A6496E"/>
    <w:rsid w:val="00A651A4"/>
    <w:rsid w:val="00A653FB"/>
    <w:rsid w:val="00A65BD2"/>
    <w:rsid w:val="00A65C66"/>
    <w:rsid w:val="00A666A0"/>
    <w:rsid w:val="00A6671F"/>
    <w:rsid w:val="00A671E3"/>
    <w:rsid w:val="00A6729F"/>
    <w:rsid w:val="00A67690"/>
    <w:rsid w:val="00A679FF"/>
    <w:rsid w:val="00A67FE9"/>
    <w:rsid w:val="00A70184"/>
    <w:rsid w:val="00A70E71"/>
    <w:rsid w:val="00A71542"/>
    <w:rsid w:val="00A722D3"/>
    <w:rsid w:val="00A7235C"/>
    <w:rsid w:val="00A72AEA"/>
    <w:rsid w:val="00A73C03"/>
    <w:rsid w:val="00A73FA9"/>
    <w:rsid w:val="00A7417F"/>
    <w:rsid w:val="00A74213"/>
    <w:rsid w:val="00A745F3"/>
    <w:rsid w:val="00A74699"/>
    <w:rsid w:val="00A7469E"/>
    <w:rsid w:val="00A74BA9"/>
    <w:rsid w:val="00A75A8F"/>
    <w:rsid w:val="00A75B7B"/>
    <w:rsid w:val="00A75E30"/>
    <w:rsid w:val="00A7602A"/>
    <w:rsid w:val="00A761AB"/>
    <w:rsid w:val="00A76317"/>
    <w:rsid w:val="00A768B4"/>
    <w:rsid w:val="00A769BC"/>
    <w:rsid w:val="00A76A9F"/>
    <w:rsid w:val="00A76DDB"/>
    <w:rsid w:val="00A77505"/>
    <w:rsid w:val="00A77810"/>
    <w:rsid w:val="00A77ACA"/>
    <w:rsid w:val="00A77B7A"/>
    <w:rsid w:val="00A8014F"/>
    <w:rsid w:val="00A8018A"/>
    <w:rsid w:val="00A808A2"/>
    <w:rsid w:val="00A80C22"/>
    <w:rsid w:val="00A80DDF"/>
    <w:rsid w:val="00A80EF6"/>
    <w:rsid w:val="00A80F13"/>
    <w:rsid w:val="00A81177"/>
    <w:rsid w:val="00A813F8"/>
    <w:rsid w:val="00A819D7"/>
    <w:rsid w:val="00A82325"/>
    <w:rsid w:val="00A82A5B"/>
    <w:rsid w:val="00A83081"/>
    <w:rsid w:val="00A834C2"/>
    <w:rsid w:val="00A83B50"/>
    <w:rsid w:val="00A83C71"/>
    <w:rsid w:val="00A83E63"/>
    <w:rsid w:val="00A83E78"/>
    <w:rsid w:val="00A8466F"/>
    <w:rsid w:val="00A846D8"/>
    <w:rsid w:val="00A84A27"/>
    <w:rsid w:val="00A85004"/>
    <w:rsid w:val="00A8519A"/>
    <w:rsid w:val="00A8520C"/>
    <w:rsid w:val="00A861C3"/>
    <w:rsid w:val="00A870A3"/>
    <w:rsid w:val="00A8724E"/>
    <w:rsid w:val="00A8779C"/>
    <w:rsid w:val="00A87FA8"/>
    <w:rsid w:val="00A900C7"/>
    <w:rsid w:val="00A90F6B"/>
    <w:rsid w:val="00A911E0"/>
    <w:rsid w:val="00A91BCC"/>
    <w:rsid w:val="00A91E59"/>
    <w:rsid w:val="00A91EED"/>
    <w:rsid w:val="00A9212A"/>
    <w:rsid w:val="00A92274"/>
    <w:rsid w:val="00A923B1"/>
    <w:rsid w:val="00A92411"/>
    <w:rsid w:val="00A9245C"/>
    <w:rsid w:val="00A92C1D"/>
    <w:rsid w:val="00A92D62"/>
    <w:rsid w:val="00A9310B"/>
    <w:rsid w:val="00A9339E"/>
    <w:rsid w:val="00A93466"/>
    <w:rsid w:val="00A94338"/>
    <w:rsid w:val="00A9451D"/>
    <w:rsid w:val="00A94535"/>
    <w:rsid w:val="00A94DD4"/>
    <w:rsid w:val="00A94EB5"/>
    <w:rsid w:val="00A95639"/>
    <w:rsid w:val="00A956A8"/>
    <w:rsid w:val="00A957E8"/>
    <w:rsid w:val="00A95A2B"/>
    <w:rsid w:val="00A962F9"/>
    <w:rsid w:val="00A96792"/>
    <w:rsid w:val="00A967EE"/>
    <w:rsid w:val="00A96906"/>
    <w:rsid w:val="00A96B48"/>
    <w:rsid w:val="00A96C9E"/>
    <w:rsid w:val="00A96E53"/>
    <w:rsid w:val="00A9709C"/>
    <w:rsid w:val="00A97593"/>
    <w:rsid w:val="00A97B70"/>
    <w:rsid w:val="00A97D99"/>
    <w:rsid w:val="00AA0062"/>
    <w:rsid w:val="00AA042A"/>
    <w:rsid w:val="00AA046A"/>
    <w:rsid w:val="00AA133E"/>
    <w:rsid w:val="00AA1353"/>
    <w:rsid w:val="00AA188A"/>
    <w:rsid w:val="00AA2446"/>
    <w:rsid w:val="00AA2A26"/>
    <w:rsid w:val="00AA2C32"/>
    <w:rsid w:val="00AA3199"/>
    <w:rsid w:val="00AA3413"/>
    <w:rsid w:val="00AA3649"/>
    <w:rsid w:val="00AA36E9"/>
    <w:rsid w:val="00AA3F58"/>
    <w:rsid w:val="00AA538E"/>
    <w:rsid w:val="00AA5527"/>
    <w:rsid w:val="00AA57BE"/>
    <w:rsid w:val="00AA5968"/>
    <w:rsid w:val="00AA5BAB"/>
    <w:rsid w:val="00AA5E3E"/>
    <w:rsid w:val="00AA64B1"/>
    <w:rsid w:val="00AA6574"/>
    <w:rsid w:val="00AA6744"/>
    <w:rsid w:val="00AA6988"/>
    <w:rsid w:val="00AA6AF1"/>
    <w:rsid w:val="00AA6B0B"/>
    <w:rsid w:val="00AA6EF6"/>
    <w:rsid w:val="00AA7526"/>
    <w:rsid w:val="00AA7F3F"/>
    <w:rsid w:val="00AB0225"/>
    <w:rsid w:val="00AB03D2"/>
    <w:rsid w:val="00AB0506"/>
    <w:rsid w:val="00AB0BD7"/>
    <w:rsid w:val="00AB0C48"/>
    <w:rsid w:val="00AB0E9D"/>
    <w:rsid w:val="00AB2438"/>
    <w:rsid w:val="00AB2B41"/>
    <w:rsid w:val="00AB3068"/>
    <w:rsid w:val="00AB3AC1"/>
    <w:rsid w:val="00AB3B65"/>
    <w:rsid w:val="00AB45C1"/>
    <w:rsid w:val="00AB48B7"/>
    <w:rsid w:val="00AB4D85"/>
    <w:rsid w:val="00AB51D0"/>
    <w:rsid w:val="00AB57BE"/>
    <w:rsid w:val="00AB5D5F"/>
    <w:rsid w:val="00AB5DB9"/>
    <w:rsid w:val="00AB5F39"/>
    <w:rsid w:val="00AB5FBB"/>
    <w:rsid w:val="00AB6768"/>
    <w:rsid w:val="00AB6F09"/>
    <w:rsid w:val="00AB75BA"/>
    <w:rsid w:val="00AB7A38"/>
    <w:rsid w:val="00AB7BA9"/>
    <w:rsid w:val="00AC0949"/>
    <w:rsid w:val="00AC0999"/>
    <w:rsid w:val="00AC0E09"/>
    <w:rsid w:val="00AC15BB"/>
    <w:rsid w:val="00AC1643"/>
    <w:rsid w:val="00AC1786"/>
    <w:rsid w:val="00AC1AFE"/>
    <w:rsid w:val="00AC1D94"/>
    <w:rsid w:val="00AC1DE6"/>
    <w:rsid w:val="00AC241C"/>
    <w:rsid w:val="00AC2667"/>
    <w:rsid w:val="00AC2BD2"/>
    <w:rsid w:val="00AC2E54"/>
    <w:rsid w:val="00AC2E7F"/>
    <w:rsid w:val="00AC3365"/>
    <w:rsid w:val="00AC33C6"/>
    <w:rsid w:val="00AC3B85"/>
    <w:rsid w:val="00AC3E99"/>
    <w:rsid w:val="00AC44A6"/>
    <w:rsid w:val="00AC47EF"/>
    <w:rsid w:val="00AC501D"/>
    <w:rsid w:val="00AC50B1"/>
    <w:rsid w:val="00AC52DE"/>
    <w:rsid w:val="00AC55BD"/>
    <w:rsid w:val="00AC55C0"/>
    <w:rsid w:val="00AC579C"/>
    <w:rsid w:val="00AC5D46"/>
    <w:rsid w:val="00AC5EF9"/>
    <w:rsid w:val="00AC635A"/>
    <w:rsid w:val="00AC7782"/>
    <w:rsid w:val="00AC77C5"/>
    <w:rsid w:val="00AC7E30"/>
    <w:rsid w:val="00AD0F9E"/>
    <w:rsid w:val="00AD13D7"/>
    <w:rsid w:val="00AD1B88"/>
    <w:rsid w:val="00AD1CC7"/>
    <w:rsid w:val="00AD232F"/>
    <w:rsid w:val="00AD2556"/>
    <w:rsid w:val="00AD29F4"/>
    <w:rsid w:val="00AD2A79"/>
    <w:rsid w:val="00AD2E51"/>
    <w:rsid w:val="00AD3113"/>
    <w:rsid w:val="00AD3209"/>
    <w:rsid w:val="00AD3536"/>
    <w:rsid w:val="00AD3DD4"/>
    <w:rsid w:val="00AD4081"/>
    <w:rsid w:val="00AD428B"/>
    <w:rsid w:val="00AD43FD"/>
    <w:rsid w:val="00AD4643"/>
    <w:rsid w:val="00AD4A67"/>
    <w:rsid w:val="00AD652E"/>
    <w:rsid w:val="00AD68B5"/>
    <w:rsid w:val="00AD71D8"/>
    <w:rsid w:val="00AD73C4"/>
    <w:rsid w:val="00AD7DAA"/>
    <w:rsid w:val="00AE0644"/>
    <w:rsid w:val="00AE073B"/>
    <w:rsid w:val="00AE0AFF"/>
    <w:rsid w:val="00AE0E2A"/>
    <w:rsid w:val="00AE0F89"/>
    <w:rsid w:val="00AE13BF"/>
    <w:rsid w:val="00AE140A"/>
    <w:rsid w:val="00AE15D5"/>
    <w:rsid w:val="00AE16BB"/>
    <w:rsid w:val="00AE2011"/>
    <w:rsid w:val="00AE2766"/>
    <w:rsid w:val="00AE2DB3"/>
    <w:rsid w:val="00AE3144"/>
    <w:rsid w:val="00AE3262"/>
    <w:rsid w:val="00AE3405"/>
    <w:rsid w:val="00AE373B"/>
    <w:rsid w:val="00AE3845"/>
    <w:rsid w:val="00AE42B8"/>
    <w:rsid w:val="00AE4432"/>
    <w:rsid w:val="00AE4537"/>
    <w:rsid w:val="00AE483E"/>
    <w:rsid w:val="00AE4960"/>
    <w:rsid w:val="00AE4CAD"/>
    <w:rsid w:val="00AE4E7E"/>
    <w:rsid w:val="00AE5003"/>
    <w:rsid w:val="00AE5ADE"/>
    <w:rsid w:val="00AE5F59"/>
    <w:rsid w:val="00AE63B7"/>
    <w:rsid w:val="00AE6594"/>
    <w:rsid w:val="00AE65DB"/>
    <w:rsid w:val="00AE6A7F"/>
    <w:rsid w:val="00AE78E7"/>
    <w:rsid w:val="00AE7964"/>
    <w:rsid w:val="00AE7A22"/>
    <w:rsid w:val="00AE7BDD"/>
    <w:rsid w:val="00AF008B"/>
    <w:rsid w:val="00AF03FD"/>
    <w:rsid w:val="00AF0450"/>
    <w:rsid w:val="00AF0A36"/>
    <w:rsid w:val="00AF0FEB"/>
    <w:rsid w:val="00AF2302"/>
    <w:rsid w:val="00AF26E6"/>
    <w:rsid w:val="00AF27A2"/>
    <w:rsid w:val="00AF3068"/>
    <w:rsid w:val="00AF3592"/>
    <w:rsid w:val="00AF3C04"/>
    <w:rsid w:val="00AF3C61"/>
    <w:rsid w:val="00AF3E66"/>
    <w:rsid w:val="00AF41CF"/>
    <w:rsid w:val="00AF42C1"/>
    <w:rsid w:val="00AF4B08"/>
    <w:rsid w:val="00AF549D"/>
    <w:rsid w:val="00AF56F3"/>
    <w:rsid w:val="00AF5DD3"/>
    <w:rsid w:val="00AF6043"/>
    <w:rsid w:val="00AF6111"/>
    <w:rsid w:val="00AF64D8"/>
    <w:rsid w:val="00AF6A31"/>
    <w:rsid w:val="00AF6A84"/>
    <w:rsid w:val="00AF6AFA"/>
    <w:rsid w:val="00AF6DE2"/>
    <w:rsid w:val="00AF74B3"/>
    <w:rsid w:val="00AF7C81"/>
    <w:rsid w:val="00B007D8"/>
    <w:rsid w:val="00B00949"/>
    <w:rsid w:val="00B00E06"/>
    <w:rsid w:val="00B0162E"/>
    <w:rsid w:val="00B016AD"/>
    <w:rsid w:val="00B01881"/>
    <w:rsid w:val="00B01911"/>
    <w:rsid w:val="00B0191D"/>
    <w:rsid w:val="00B0194B"/>
    <w:rsid w:val="00B01A98"/>
    <w:rsid w:val="00B01D89"/>
    <w:rsid w:val="00B01EBD"/>
    <w:rsid w:val="00B01EC5"/>
    <w:rsid w:val="00B02069"/>
    <w:rsid w:val="00B027C0"/>
    <w:rsid w:val="00B02D61"/>
    <w:rsid w:val="00B0303C"/>
    <w:rsid w:val="00B032C8"/>
    <w:rsid w:val="00B033CD"/>
    <w:rsid w:val="00B03CBB"/>
    <w:rsid w:val="00B04137"/>
    <w:rsid w:val="00B046B0"/>
    <w:rsid w:val="00B04BB2"/>
    <w:rsid w:val="00B05557"/>
    <w:rsid w:val="00B055C5"/>
    <w:rsid w:val="00B0574E"/>
    <w:rsid w:val="00B05A4B"/>
    <w:rsid w:val="00B05CB1"/>
    <w:rsid w:val="00B061D4"/>
    <w:rsid w:val="00B062E2"/>
    <w:rsid w:val="00B07194"/>
    <w:rsid w:val="00B07D41"/>
    <w:rsid w:val="00B10F77"/>
    <w:rsid w:val="00B11494"/>
    <w:rsid w:val="00B11999"/>
    <w:rsid w:val="00B11B1C"/>
    <w:rsid w:val="00B11D6F"/>
    <w:rsid w:val="00B12C5C"/>
    <w:rsid w:val="00B12D24"/>
    <w:rsid w:val="00B12D3B"/>
    <w:rsid w:val="00B12EE2"/>
    <w:rsid w:val="00B1309C"/>
    <w:rsid w:val="00B135CC"/>
    <w:rsid w:val="00B13950"/>
    <w:rsid w:val="00B13A37"/>
    <w:rsid w:val="00B13C17"/>
    <w:rsid w:val="00B14038"/>
    <w:rsid w:val="00B14F56"/>
    <w:rsid w:val="00B154E7"/>
    <w:rsid w:val="00B157FD"/>
    <w:rsid w:val="00B159F2"/>
    <w:rsid w:val="00B15A21"/>
    <w:rsid w:val="00B1665A"/>
    <w:rsid w:val="00B16709"/>
    <w:rsid w:val="00B16C2E"/>
    <w:rsid w:val="00B16C96"/>
    <w:rsid w:val="00B20023"/>
    <w:rsid w:val="00B2013D"/>
    <w:rsid w:val="00B20285"/>
    <w:rsid w:val="00B202C3"/>
    <w:rsid w:val="00B20A96"/>
    <w:rsid w:val="00B20BF8"/>
    <w:rsid w:val="00B2105C"/>
    <w:rsid w:val="00B216A3"/>
    <w:rsid w:val="00B218C7"/>
    <w:rsid w:val="00B21E6A"/>
    <w:rsid w:val="00B21F54"/>
    <w:rsid w:val="00B2209A"/>
    <w:rsid w:val="00B22654"/>
    <w:rsid w:val="00B22D09"/>
    <w:rsid w:val="00B23301"/>
    <w:rsid w:val="00B23508"/>
    <w:rsid w:val="00B2416A"/>
    <w:rsid w:val="00B2420A"/>
    <w:rsid w:val="00B24FFD"/>
    <w:rsid w:val="00B2502D"/>
    <w:rsid w:val="00B25089"/>
    <w:rsid w:val="00B256C5"/>
    <w:rsid w:val="00B259A6"/>
    <w:rsid w:val="00B26C37"/>
    <w:rsid w:val="00B275F5"/>
    <w:rsid w:val="00B27660"/>
    <w:rsid w:val="00B27913"/>
    <w:rsid w:val="00B30341"/>
    <w:rsid w:val="00B30771"/>
    <w:rsid w:val="00B312B8"/>
    <w:rsid w:val="00B31504"/>
    <w:rsid w:val="00B32434"/>
    <w:rsid w:val="00B32564"/>
    <w:rsid w:val="00B3355B"/>
    <w:rsid w:val="00B3393C"/>
    <w:rsid w:val="00B339FE"/>
    <w:rsid w:val="00B34375"/>
    <w:rsid w:val="00B345BD"/>
    <w:rsid w:val="00B3469F"/>
    <w:rsid w:val="00B34DD6"/>
    <w:rsid w:val="00B35004"/>
    <w:rsid w:val="00B35103"/>
    <w:rsid w:val="00B35C65"/>
    <w:rsid w:val="00B360BC"/>
    <w:rsid w:val="00B36338"/>
    <w:rsid w:val="00B370DC"/>
    <w:rsid w:val="00B375F5"/>
    <w:rsid w:val="00B400C0"/>
    <w:rsid w:val="00B401EC"/>
    <w:rsid w:val="00B40802"/>
    <w:rsid w:val="00B40C5A"/>
    <w:rsid w:val="00B411A7"/>
    <w:rsid w:val="00B4123D"/>
    <w:rsid w:val="00B423AC"/>
    <w:rsid w:val="00B4243E"/>
    <w:rsid w:val="00B424B1"/>
    <w:rsid w:val="00B42CBF"/>
    <w:rsid w:val="00B42F52"/>
    <w:rsid w:val="00B43089"/>
    <w:rsid w:val="00B43EE1"/>
    <w:rsid w:val="00B44598"/>
    <w:rsid w:val="00B44C80"/>
    <w:rsid w:val="00B44CFD"/>
    <w:rsid w:val="00B44D9B"/>
    <w:rsid w:val="00B44DD2"/>
    <w:rsid w:val="00B45002"/>
    <w:rsid w:val="00B453C1"/>
    <w:rsid w:val="00B45619"/>
    <w:rsid w:val="00B459C4"/>
    <w:rsid w:val="00B45ED9"/>
    <w:rsid w:val="00B46578"/>
    <w:rsid w:val="00B46DFE"/>
    <w:rsid w:val="00B4740D"/>
    <w:rsid w:val="00B478B9"/>
    <w:rsid w:val="00B47C7A"/>
    <w:rsid w:val="00B47D10"/>
    <w:rsid w:val="00B500AA"/>
    <w:rsid w:val="00B50837"/>
    <w:rsid w:val="00B5154A"/>
    <w:rsid w:val="00B51971"/>
    <w:rsid w:val="00B51B89"/>
    <w:rsid w:val="00B51CF5"/>
    <w:rsid w:val="00B520B2"/>
    <w:rsid w:val="00B52657"/>
    <w:rsid w:val="00B5394B"/>
    <w:rsid w:val="00B53AA7"/>
    <w:rsid w:val="00B53D64"/>
    <w:rsid w:val="00B53E25"/>
    <w:rsid w:val="00B542CC"/>
    <w:rsid w:val="00B55D9F"/>
    <w:rsid w:val="00B55F28"/>
    <w:rsid w:val="00B56504"/>
    <w:rsid w:val="00B5656B"/>
    <w:rsid w:val="00B5659F"/>
    <w:rsid w:val="00B568C7"/>
    <w:rsid w:val="00B56917"/>
    <w:rsid w:val="00B569B4"/>
    <w:rsid w:val="00B57A13"/>
    <w:rsid w:val="00B57FFD"/>
    <w:rsid w:val="00B60395"/>
    <w:rsid w:val="00B6093B"/>
    <w:rsid w:val="00B60FEC"/>
    <w:rsid w:val="00B6127F"/>
    <w:rsid w:val="00B61C00"/>
    <w:rsid w:val="00B62371"/>
    <w:rsid w:val="00B627F6"/>
    <w:rsid w:val="00B62978"/>
    <w:rsid w:val="00B62D64"/>
    <w:rsid w:val="00B62F61"/>
    <w:rsid w:val="00B63A17"/>
    <w:rsid w:val="00B64247"/>
    <w:rsid w:val="00B647A5"/>
    <w:rsid w:val="00B64805"/>
    <w:rsid w:val="00B64B13"/>
    <w:rsid w:val="00B64DC5"/>
    <w:rsid w:val="00B64E1E"/>
    <w:rsid w:val="00B64F96"/>
    <w:rsid w:val="00B65147"/>
    <w:rsid w:val="00B65300"/>
    <w:rsid w:val="00B65B25"/>
    <w:rsid w:val="00B66250"/>
    <w:rsid w:val="00B668D2"/>
    <w:rsid w:val="00B66AE1"/>
    <w:rsid w:val="00B67078"/>
    <w:rsid w:val="00B670C5"/>
    <w:rsid w:val="00B700C2"/>
    <w:rsid w:val="00B7014B"/>
    <w:rsid w:val="00B719D6"/>
    <w:rsid w:val="00B71DD0"/>
    <w:rsid w:val="00B71DE7"/>
    <w:rsid w:val="00B72248"/>
    <w:rsid w:val="00B7275A"/>
    <w:rsid w:val="00B72791"/>
    <w:rsid w:val="00B727BF"/>
    <w:rsid w:val="00B73279"/>
    <w:rsid w:val="00B73906"/>
    <w:rsid w:val="00B739CA"/>
    <w:rsid w:val="00B73A9E"/>
    <w:rsid w:val="00B73FC2"/>
    <w:rsid w:val="00B74D1A"/>
    <w:rsid w:val="00B75B82"/>
    <w:rsid w:val="00B760A0"/>
    <w:rsid w:val="00B7618E"/>
    <w:rsid w:val="00B76705"/>
    <w:rsid w:val="00B76EE6"/>
    <w:rsid w:val="00B77619"/>
    <w:rsid w:val="00B77F6C"/>
    <w:rsid w:val="00B80256"/>
    <w:rsid w:val="00B8036E"/>
    <w:rsid w:val="00B808EB"/>
    <w:rsid w:val="00B80BD3"/>
    <w:rsid w:val="00B814CD"/>
    <w:rsid w:val="00B81649"/>
    <w:rsid w:val="00B81747"/>
    <w:rsid w:val="00B81769"/>
    <w:rsid w:val="00B81968"/>
    <w:rsid w:val="00B820D1"/>
    <w:rsid w:val="00B8233D"/>
    <w:rsid w:val="00B82C18"/>
    <w:rsid w:val="00B832BB"/>
    <w:rsid w:val="00B835FC"/>
    <w:rsid w:val="00B8454B"/>
    <w:rsid w:val="00B8607C"/>
    <w:rsid w:val="00B86203"/>
    <w:rsid w:val="00B862A6"/>
    <w:rsid w:val="00B86632"/>
    <w:rsid w:val="00B8676E"/>
    <w:rsid w:val="00B86777"/>
    <w:rsid w:val="00B8697D"/>
    <w:rsid w:val="00B87128"/>
    <w:rsid w:val="00B87822"/>
    <w:rsid w:val="00B87A18"/>
    <w:rsid w:val="00B900A6"/>
    <w:rsid w:val="00B9071D"/>
    <w:rsid w:val="00B90F50"/>
    <w:rsid w:val="00B91BDA"/>
    <w:rsid w:val="00B91CB1"/>
    <w:rsid w:val="00B91DF3"/>
    <w:rsid w:val="00B91E97"/>
    <w:rsid w:val="00B91FE2"/>
    <w:rsid w:val="00B920B4"/>
    <w:rsid w:val="00B92C09"/>
    <w:rsid w:val="00B92EBF"/>
    <w:rsid w:val="00B932A3"/>
    <w:rsid w:val="00B93702"/>
    <w:rsid w:val="00B9386F"/>
    <w:rsid w:val="00B939B7"/>
    <w:rsid w:val="00B93BEC"/>
    <w:rsid w:val="00B9408C"/>
    <w:rsid w:val="00B941E8"/>
    <w:rsid w:val="00B942F7"/>
    <w:rsid w:val="00B953DE"/>
    <w:rsid w:val="00B954F1"/>
    <w:rsid w:val="00B959B2"/>
    <w:rsid w:val="00B959D0"/>
    <w:rsid w:val="00B959E9"/>
    <w:rsid w:val="00B95B28"/>
    <w:rsid w:val="00B95E56"/>
    <w:rsid w:val="00B95ECD"/>
    <w:rsid w:val="00B961CC"/>
    <w:rsid w:val="00B967F4"/>
    <w:rsid w:val="00B96955"/>
    <w:rsid w:val="00B96D33"/>
    <w:rsid w:val="00B97427"/>
    <w:rsid w:val="00B97594"/>
    <w:rsid w:val="00B976EB"/>
    <w:rsid w:val="00B97B0F"/>
    <w:rsid w:val="00B97B25"/>
    <w:rsid w:val="00B97C33"/>
    <w:rsid w:val="00BA034D"/>
    <w:rsid w:val="00BA0738"/>
    <w:rsid w:val="00BA0F54"/>
    <w:rsid w:val="00BA0FC2"/>
    <w:rsid w:val="00BA1AAD"/>
    <w:rsid w:val="00BA21CF"/>
    <w:rsid w:val="00BA2696"/>
    <w:rsid w:val="00BA2D73"/>
    <w:rsid w:val="00BA35A8"/>
    <w:rsid w:val="00BA39DC"/>
    <w:rsid w:val="00BA3A69"/>
    <w:rsid w:val="00BA4182"/>
    <w:rsid w:val="00BA4338"/>
    <w:rsid w:val="00BA458B"/>
    <w:rsid w:val="00BA4968"/>
    <w:rsid w:val="00BA4A96"/>
    <w:rsid w:val="00BA4EE8"/>
    <w:rsid w:val="00BA534A"/>
    <w:rsid w:val="00BA5560"/>
    <w:rsid w:val="00BA5629"/>
    <w:rsid w:val="00BA5A83"/>
    <w:rsid w:val="00BA67A4"/>
    <w:rsid w:val="00BA6FCF"/>
    <w:rsid w:val="00BA72C8"/>
    <w:rsid w:val="00BA773B"/>
    <w:rsid w:val="00BB054C"/>
    <w:rsid w:val="00BB057B"/>
    <w:rsid w:val="00BB0783"/>
    <w:rsid w:val="00BB07BC"/>
    <w:rsid w:val="00BB07C5"/>
    <w:rsid w:val="00BB141B"/>
    <w:rsid w:val="00BB1519"/>
    <w:rsid w:val="00BB16F3"/>
    <w:rsid w:val="00BB1A1D"/>
    <w:rsid w:val="00BB1AA8"/>
    <w:rsid w:val="00BB1C0F"/>
    <w:rsid w:val="00BB1F02"/>
    <w:rsid w:val="00BB2403"/>
    <w:rsid w:val="00BB2581"/>
    <w:rsid w:val="00BB2B96"/>
    <w:rsid w:val="00BB2C9C"/>
    <w:rsid w:val="00BB3173"/>
    <w:rsid w:val="00BB327C"/>
    <w:rsid w:val="00BB363C"/>
    <w:rsid w:val="00BB36E6"/>
    <w:rsid w:val="00BB3ECD"/>
    <w:rsid w:val="00BB4334"/>
    <w:rsid w:val="00BB484B"/>
    <w:rsid w:val="00BB48E2"/>
    <w:rsid w:val="00BB4C96"/>
    <w:rsid w:val="00BB4CF0"/>
    <w:rsid w:val="00BB56C7"/>
    <w:rsid w:val="00BB5888"/>
    <w:rsid w:val="00BB58AE"/>
    <w:rsid w:val="00BB5FD0"/>
    <w:rsid w:val="00BB6AC9"/>
    <w:rsid w:val="00BB6D91"/>
    <w:rsid w:val="00BB710B"/>
    <w:rsid w:val="00BB7456"/>
    <w:rsid w:val="00BB7497"/>
    <w:rsid w:val="00BB7B6C"/>
    <w:rsid w:val="00BC04A2"/>
    <w:rsid w:val="00BC057E"/>
    <w:rsid w:val="00BC0649"/>
    <w:rsid w:val="00BC065E"/>
    <w:rsid w:val="00BC1394"/>
    <w:rsid w:val="00BC14EC"/>
    <w:rsid w:val="00BC1C55"/>
    <w:rsid w:val="00BC1FAA"/>
    <w:rsid w:val="00BC202B"/>
    <w:rsid w:val="00BC215A"/>
    <w:rsid w:val="00BC2934"/>
    <w:rsid w:val="00BC2D06"/>
    <w:rsid w:val="00BC32E3"/>
    <w:rsid w:val="00BC383A"/>
    <w:rsid w:val="00BC3B6A"/>
    <w:rsid w:val="00BC3EE0"/>
    <w:rsid w:val="00BC42CE"/>
    <w:rsid w:val="00BC472C"/>
    <w:rsid w:val="00BC48EE"/>
    <w:rsid w:val="00BC4914"/>
    <w:rsid w:val="00BC4E2E"/>
    <w:rsid w:val="00BC4F37"/>
    <w:rsid w:val="00BC4F8C"/>
    <w:rsid w:val="00BC527C"/>
    <w:rsid w:val="00BC53B2"/>
    <w:rsid w:val="00BC5486"/>
    <w:rsid w:val="00BC558E"/>
    <w:rsid w:val="00BC5B69"/>
    <w:rsid w:val="00BC651F"/>
    <w:rsid w:val="00BC6BAB"/>
    <w:rsid w:val="00BC6D35"/>
    <w:rsid w:val="00BC7095"/>
    <w:rsid w:val="00BC7604"/>
    <w:rsid w:val="00BC7B88"/>
    <w:rsid w:val="00BD0357"/>
    <w:rsid w:val="00BD121A"/>
    <w:rsid w:val="00BD18E2"/>
    <w:rsid w:val="00BD1AF9"/>
    <w:rsid w:val="00BD1E15"/>
    <w:rsid w:val="00BD26AA"/>
    <w:rsid w:val="00BD3186"/>
    <w:rsid w:val="00BD31EC"/>
    <w:rsid w:val="00BD33CC"/>
    <w:rsid w:val="00BD37AB"/>
    <w:rsid w:val="00BD3CF0"/>
    <w:rsid w:val="00BD43AF"/>
    <w:rsid w:val="00BD4783"/>
    <w:rsid w:val="00BD4C53"/>
    <w:rsid w:val="00BD4E66"/>
    <w:rsid w:val="00BD5121"/>
    <w:rsid w:val="00BD544F"/>
    <w:rsid w:val="00BD58C4"/>
    <w:rsid w:val="00BD5EE7"/>
    <w:rsid w:val="00BD6F2C"/>
    <w:rsid w:val="00BD6F6D"/>
    <w:rsid w:val="00BD72BD"/>
    <w:rsid w:val="00BD72F3"/>
    <w:rsid w:val="00BD7578"/>
    <w:rsid w:val="00BD75E5"/>
    <w:rsid w:val="00BD767F"/>
    <w:rsid w:val="00BD79A9"/>
    <w:rsid w:val="00BD7A99"/>
    <w:rsid w:val="00BD7C5B"/>
    <w:rsid w:val="00BE00E4"/>
    <w:rsid w:val="00BE015C"/>
    <w:rsid w:val="00BE01FB"/>
    <w:rsid w:val="00BE027E"/>
    <w:rsid w:val="00BE02B4"/>
    <w:rsid w:val="00BE0DDC"/>
    <w:rsid w:val="00BE1F3D"/>
    <w:rsid w:val="00BE210C"/>
    <w:rsid w:val="00BE2116"/>
    <w:rsid w:val="00BE2337"/>
    <w:rsid w:val="00BE259B"/>
    <w:rsid w:val="00BE25B2"/>
    <w:rsid w:val="00BE2628"/>
    <w:rsid w:val="00BE2723"/>
    <w:rsid w:val="00BE27B5"/>
    <w:rsid w:val="00BE2AE8"/>
    <w:rsid w:val="00BE3BD4"/>
    <w:rsid w:val="00BE44BE"/>
    <w:rsid w:val="00BE4B7D"/>
    <w:rsid w:val="00BE4CBF"/>
    <w:rsid w:val="00BE5EC5"/>
    <w:rsid w:val="00BE60DB"/>
    <w:rsid w:val="00BE650A"/>
    <w:rsid w:val="00BE667D"/>
    <w:rsid w:val="00BE700C"/>
    <w:rsid w:val="00BE7034"/>
    <w:rsid w:val="00BE7694"/>
    <w:rsid w:val="00BE7942"/>
    <w:rsid w:val="00BE7AE8"/>
    <w:rsid w:val="00BE7E57"/>
    <w:rsid w:val="00BF02A9"/>
    <w:rsid w:val="00BF0CAE"/>
    <w:rsid w:val="00BF0CCA"/>
    <w:rsid w:val="00BF0FE9"/>
    <w:rsid w:val="00BF1540"/>
    <w:rsid w:val="00BF1A0B"/>
    <w:rsid w:val="00BF1C36"/>
    <w:rsid w:val="00BF236B"/>
    <w:rsid w:val="00BF28CE"/>
    <w:rsid w:val="00BF2C5F"/>
    <w:rsid w:val="00BF2EE8"/>
    <w:rsid w:val="00BF31AE"/>
    <w:rsid w:val="00BF31B0"/>
    <w:rsid w:val="00BF3462"/>
    <w:rsid w:val="00BF3690"/>
    <w:rsid w:val="00BF3886"/>
    <w:rsid w:val="00BF3A24"/>
    <w:rsid w:val="00BF3AF6"/>
    <w:rsid w:val="00BF3CC7"/>
    <w:rsid w:val="00BF44DD"/>
    <w:rsid w:val="00BF44F1"/>
    <w:rsid w:val="00BF4877"/>
    <w:rsid w:val="00BF5078"/>
    <w:rsid w:val="00BF5565"/>
    <w:rsid w:val="00BF57CA"/>
    <w:rsid w:val="00BF5B2D"/>
    <w:rsid w:val="00BF657A"/>
    <w:rsid w:val="00BF686C"/>
    <w:rsid w:val="00BF6948"/>
    <w:rsid w:val="00BF6E0F"/>
    <w:rsid w:val="00BF6F9B"/>
    <w:rsid w:val="00BF7219"/>
    <w:rsid w:val="00BF7538"/>
    <w:rsid w:val="00BF7FF4"/>
    <w:rsid w:val="00C00806"/>
    <w:rsid w:val="00C0082B"/>
    <w:rsid w:val="00C00B08"/>
    <w:rsid w:val="00C00C2F"/>
    <w:rsid w:val="00C01C42"/>
    <w:rsid w:val="00C026AF"/>
    <w:rsid w:val="00C02796"/>
    <w:rsid w:val="00C028DD"/>
    <w:rsid w:val="00C02E76"/>
    <w:rsid w:val="00C033D4"/>
    <w:rsid w:val="00C03694"/>
    <w:rsid w:val="00C03BA5"/>
    <w:rsid w:val="00C03D0A"/>
    <w:rsid w:val="00C04045"/>
    <w:rsid w:val="00C040F8"/>
    <w:rsid w:val="00C042E9"/>
    <w:rsid w:val="00C045FD"/>
    <w:rsid w:val="00C04732"/>
    <w:rsid w:val="00C04A35"/>
    <w:rsid w:val="00C055EA"/>
    <w:rsid w:val="00C0581E"/>
    <w:rsid w:val="00C06B89"/>
    <w:rsid w:val="00C06F02"/>
    <w:rsid w:val="00C07826"/>
    <w:rsid w:val="00C078EB"/>
    <w:rsid w:val="00C07B53"/>
    <w:rsid w:val="00C10188"/>
    <w:rsid w:val="00C10BDB"/>
    <w:rsid w:val="00C10FE0"/>
    <w:rsid w:val="00C11281"/>
    <w:rsid w:val="00C11521"/>
    <w:rsid w:val="00C11B6F"/>
    <w:rsid w:val="00C11F61"/>
    <w:rsid w:val="00C12536"/>
    <w:rsid w:val="00C125BD"/>
    <w:rsid w:val="00C1353F"/>
    <w:rsid w:val="00C137CD"/>
    <w:rsid w:val="00C13FC5"/>
    <w:rsid w:val="00C14218"/>
    <w:rsid w:val="00C1524C"/>
    <w:rsid w:val="00C156E7"/>
    <w:rsid w:val="00C1588F"/>
    <w:rsid w:val="00C1651D"/>
    <w:rsid w:val="00C16B84"/>
    <w:rsid w:val="00C16C6D"/>
    <w:rsid w:val="00C17A33"/>
    <w:rsid w:val="00C17D01"/>
    <w:rsid w:val="00C17FED"/>
    <w:rsid w:val="00C204CC"/>
    <w:rsid w:val="00C20874"/>
    <w:rsid w:val="00C209CD"/>
    <w:rsid w:val="00C20D50"/>
    <w:rsid w:val="00C210A6"/>
    <w:rsid w:val="00C2120A"/>
    <w:rsid w:val="00C21246"/>
    <w:rsid w:val="00C2175A"/>
    <w:rsid w:val="00C2184C"/>
    <w:rsid w:val="00C21FBD"/>
    <w:rsid w:val="00C22084"/>
    <w:rsid w:val="00C223DB"/>
    <w:rsid w:val="00C228F6"/>
    <w:rsid w:val="00C22B3C"/>
    <w:rsid w:val="00C22BD8"/>
    <w:rsid w:val="00C22CE3"/>
    <w:rsid w:val="00C22E4F"/>
    <w:rsid w:val="00C23155"/>
    <w:rsid w:val="00C234C1"/>
    <w:rsid w:val="00C23593"/>
    <w:rsid w:val="00C23B61"/>
    <w:rsid w:val="00C24848"/>
    <w:rsid w:val="00C248E5"/>
    <w:rsid w:val="00C25252"/>
    <w:rsid w:val="00C25493"/>
    <w:rsid w:val="00C261BD"/>
    <w:rsid w:val="00C2658D"/>
    <w:rsid w:val="00C26753"/>
    <w:rsid w:val="00C27F7C"/>
    <w:rsid w:val="00C3006B"/>
    <w:rsid w:val="00C3043B"/>
    <w:rsid w:val="00C3080A"/>
    <w:rsid w:val="00C30BBB"/>
    <w:rsid w:val="00C31190"/>
    <w:rsid w:val="00C31513"/>
    <w:rsid w:val="00C3151D"/>
    <w:rsid w:val="00C31540"/>
    <w:rsid w:val="00C31D36"/>
    <w:rsid w:val="00C320FF"/>
    <w:rsid w:val="00C32B6E"/>
    <w:rsid w:val="00C33095"/>
    <w:rsid w:val="00C332E0"/>
    <w:rsid w:val="00C33C21"/>
    <w:rsid w:val="00C33EFF"/>
    <w:rsid w:val="00C34295"/>
    <w:rsid w:val="00C34646"/>
    <w:rsid w:val="00C34F88"/>
    <w:rsid w:val="00C34FCA"/>
    <w:rsid w:val="00C357B0"/>
    <w:rsid w:val="00C3588E"/>
    <w:rsid w:val="00C35932"/>
    <w:rsid w:val="00C35C10"/>
    <w:rsid w:val="00C3603C"/>
    <w:rsid w:val="00C36040"/>
    <w:rsid w:val="00C36708"/>
    <w:rsid w:val="00C36BA3"/>
    <w:rsid w:val="00C36EEE"/>
    <w:rsid w:val="00C36EFC"/>
    <w:rsid w:val="00C37359"/>
    <w:rsid w:val="00C37A3F"/>
    <w:rsid w:val="00C37C60"/>
    <w:rsid w:val="00C37F96"/>
    <w:rsid w:val="00C4014F"/>
    <w:rsid w:val="00C40571"/>
    <w:rsid w:val="00C410B9"/>
    <w:rsid w:val="00C4115B"/>
    <w:rsid w:val="00C418B7"/>
    <w:rsid w:val="00C426BD"/>
    <w:rsid w:val="00C42823"/>
    <w:rsid w:val="00C42B50"/>
    <w:rsid w:val="00C42FE8"/>
    <w:rsid w:val="00C433CF"/>
    <w:rsid w:val="00C43714"/>
    <w:rsid w:val="00C439BF"/>
    <w:rsid w:val="00C43AA2"/>
    <w:rsid w:val="00C440A6"/>
    <w:rsid w:val="00C44482"/>
    <w:rsid w:val="00C44522"/>
    <w:rsid w:val="00C44810"/>
    <w:rsid w:val="00C44E4A"/>
    <w:rsid w:val="00C45B6F"/>
    <w:rsid w:val="00C46A1A"/>
    <w:rsid w:val="00C46BC8"/>
    <w:rsid w:val="00C477FB"/>
    <w:rsid w:val="00C505C5"/>
    <w:rsid w:val="00C50711"/>
    <w:rsid w:val="00C507C1"/>
    <w:rsid w:val="00C50E67"/>
    <w:rsid w:val="00C5125C"/>
    <w:rsid w:val="00C513AA"/>
    <w:rsid w:val="00C5168B"/>
    <w:rsid w:val="00C51998"/>
    <w:rsid w:val="00C519FB"/>
    <w:rsid w:val="00C51A2D"/>
    <w:rsid w:val="00C51A3B"/>
    <w:rsid w:val="00C5230A"/>
    <w:rsid w:val="00C52583"/>
    <w:rsid w:val="00C52E28"/>
    <w:rsid w:val="00C52F06"/>
    <w:rsid w:val="00C53B05"/>
    <w:rsid w:val="00C53BE3"/>
    <w:rsid w:val="00C540B5"/>
    <w:rsid w:val="00C54667"/>
    <w:rsid w:val="00C547F7"/>
    <w:rsid w:val="00C54929"/>
    <w:rsid w:val="00C55A44"/>
    <w:rsid w:val="00C566C5"/>
    <w:rsid w:val="00C57374"/>
    <w:rsid w:val="00C57480"/>
    <w:rsid w:val="00C5749B"/>
    <w:rsid w:val="00C575B0"/>
    <w:rsid w:val="00C57608"/>
    <w:rsid w:val="00C57749"/>
    <w:rsid w:val="00C57A5B"/>
    <w:rsid w:val="00C57A62"/>
    <w:rsid w:val="00C57AAE"/>
    <w:rsid w:val="00C57D0E"/>
    <w:rsid w:val="00C57FFA"/>
    <w:rsid w:val="00C6005D"/>
    <w:rsid w:val="00C604A5"/>
    <w:rsid w:val="00C60C5E"/>
    <w:rsid w:val="00C60EA5"/>
    <w:rsid w:val="00C60F47"/>
    <w:rsid w:val="00C60F5C"/>
    <w:rsid w:val="00C6165D"/>
    <w:rsid w:val="00C617E0"/>
    <w:rsid w:val="00C6183A"/>
    <w:rsid w:val="00C61999"/>
    <w:rsid w:val="00C61C18"/>
    <w:rsid w:val="00C624AB"/>
    <w:rsid w:val="00C626C7"/>
    <w:rsid w:val="00C628A6"/>
    <w:rsid w:val="00C629C1"/>
    <w:rsid w:val="00C62A29"/>
    <w:rsid w:val="00C6345F"/>
    <w:rsid w:val="00C63C33"/>
    <w:rsid w:val="00C63EB3"/>
    <w:rsid w:val="00C64282"/>
    <w:rsid w:val="00C646A4"/>
    <w:rsid w:val="00C65176"/>
    <w:rsid w:val="00C6648C"/>
    <w:rsid w:val="00C6654E"/>
    <w:rsid w:val="00C66A22"/>
    <w:rsid w:val="00C66F10"/>
    <w:rsid w:val="00C67DD2"/>
    <w:rsid w:val="00C7045F"/>
    <w:rsid w:val="00C70836"/>
    <w:rsid w:val="00C70A44"/>
    <w:rsid w:val="00C70F10"/>
    <w:rsid w:val="00C72579"/>
    <w:rsid w:val="00C72AD7"/>
    <w:rsid w:val="00C72ED8"/>
    <w:rsid w:val="00C7369D"/>
    <w:rsid w:val="00C73952"/>
    <w:rsid w:val="00C73A71"/>
    <w:rsid w:val="00C74007"/>
    <w:rsid w:val="00C741E4"/>
    <w:rsid w:val="00C745C7"/>
    <w:rsid w:val="00C746EE"/>
    <w:rsid w:val="00C74708"/>
    <w:rsid w:val="00C7549C"/>
    <w:rsid w:val="00C755FD"/>
    <w:rsid w:val="00C75C6C"/>
    <w:rsid w:val="00C762B8"/>
    <w:rsid w:val="00C765A3"/>
    <w:rsid w:val="00C76B5A"/>
    <w:rsid w:val="00C77619"/>
    <w:rsid w:val="00C776E6"/>
    <w:rsid w:val="00C77F78"/>
    <w:rsid w:val="00C77F8C"/>
    <w:rsid w:val="00C8006B"/>
    <w:rsid w:val="00C8027D"/>
    <w:rsid w:val="00C80C9C"/>
    <w:rsid w:val="00C8162B"/>
    <w:rsid w:val="00C8170A"/>
    <w:rsid w:val="00C81845"/>
    <w:rsid w:val="00C81A4D"/>
    <w:rsid w:val="00C81FC8"/>
    <w:rsid w:val="00C8233B"/>
    <w:rsid w:val="00C823B6"/>
    <w:rsid w:val="00C828AF"/>
    <w:rsid w:val="00C828F9"/>
    <w:rsid w:val="00C82AA2"/>
    <w:rsid w:val="00C82CA6"/>
    <w:rsid w:val="00C82DEB"/>
    <w:rsid w:val="00C83011"/>
    <w:rsid w:val="00C83791"/>
    <w:rsid w:val="00C83878"/>
    <w:rsid w:val="00C83C85"/>
    <w:rsid w:val="00C83D1B"/>
    <w:rsid w:val="00C84328"/>
    <w:rsid w:val="00C84604"/>
    <w:rsid w:val="00C84A7A"/>
    <w:rsid w:val="00C84E3E"/>
    <w:rsid w:val="00C85227"/>
    <w:rsid w:val="00C855C5"/>
    <w:rsid w:val="00C858BD"/>
    <w:rsid w:val="00C859AB"/>
    <w:rsid w:val="00C85DB5"/>
    <w:rsid w:val="00C85F62"/>
    <w:rsid w:val="00C85FAC"/>
    <w:rsid w:val="00C86997"/>
    <w:rsid w:val="00C869C1"/>
    <w:rsid w:val="00C86C53"/>
    <w:rsid w:val="00C870AC"/>
    <w:rsid w:val="00C8722A"/>
    <w:rsid w:val="00C878C0"/>
    <w:rsid w:val="00C90199"/>
    <w:rsid w:val="00C902BB"/>
    <w:rsid w:val="00C90437"/>
    <w:rsid w:val="00C9108F"/>
    <w:rsid w:val="00C911DD"/>
    <w:rsid w:val="00C91788"/>
    <w:rsid w:val="00C91939"/>
    <w:rsid w:val="00C91969"/>
    <w:rsid w:val="00C91A7E"/>
    <w:rsid w:val="00C91E5C"/>
    <w:rsid w:val="00C92323"/>
    <w:rsid w:val="00C92553"/>
    <w:rsid w:val="00C9297B"/>
    <w:rsid w:val="00C92AFA"/>
    <w:rsid w:val="00C933D5"/>
    <w:rsid w:val="00C934D7"/>
    <w:rsid w:val="00C93775"/>
    <w:rsid w:val="00C93A5B"/>
    <w:rsid w:val="00C93DE7"/>
    <w:rsid w:val="00C94046"/>
    <w:rsid w:val="00C94627"/>
    <w:rsid w:val="00C949F6"/>
    <w:rsid w:val="00C94CE8"/>
    <w:rsid w:val="00C94E75"/>
    <w:rsid w:val="00C94F65"/>
    <w:rsid w:val="00C94FD1"/>
    <w:rsid w:val="00C94FE5"/>
    <w:rsid w:val="00C9527E"/>
    <w:rsid w:val="00C958C4"/>
    <w:rsid w:val="00C95B96"/>
    <w:rsid w:val="00C95BE6"/>
    <w:rsid w:val="00C95CB6"/>
    <w:rsid w:val="00C95EFE"/>
    <w:rsid w:val="00C960D4"/>
    <w:rsid w:val="00C963DB"/>
    <w:rsid w:val="00C9653F"/>
    <w:rsid w:val="00C96543"/>
    <w:rsid w:val="00C96787"/>
    <w:rsid w:val="00C970A7"/>
    <w:rsid w:val="00C970E2"/>
    <w:rsid w:val="00C973BD"/>
    <w:rsid w:val="00C973E8"/>
    <w:rsid w:val="00C97682"/>
    <w:rsid w:val="00C97744"/>
    <w:rsid w:val="00C979AA"/>
    <w:rsid w:val="00C97CB8"/>
    <w:rsid w:val="00CA0373"/>
    <w:rsid w:val="00CA0556"/>
    <w:rsid w:val="00CA12B1"/>
    <w:rsid w:val="00CA152C"/>
    <w:rsid w:val="00CA15B9"/>
    <w:rsid w:val="00CA1836"/>
    <w:rsid w:val="00CA1890"/>
    <w:rsid w:val="00CA1B41"/>
    <w:rsid w:val="00CA1D0E"/>
    <w:rsid w:val="00CA2391"/>
    <w:rsid w:val="00CA243F"/>
    <w:rsid w:val="00CA2CB5"/>
    <w:rsid w:val="00CA3785"/>
    <w:rsid w:val="00CA3865"/>
    <w:rsid w:val="00CA3AC7"/>
    <w:rsid w:val="00CA3AE9"/>
    <w:rsid w:val="00CA45B1"/>
    <w:rsid w:val="00CA476C"/>
    <w:rsid w:val="00CA477C"/>
    <w:rsid w:val="00CA5071"/>
    <w:rsid w:val="00CA521C"/>
    <w:rsid w:val="00CA5343"/>
    <w:rsid w:val="00CA593C"/>
    <w:rsid w:val="00CA5F35"/>
    <w:rsid w:val="00CA5F3B"/>
    <w:rsid w:val="00CA5FBA"/>
    <w:rsid w:val="00CA61B0"/>
    <w:rsid w:val="00CA6CBD"/>
    <w:rsid w:val="00CA6D8C"/>
    <w:rsid w:val="00CA7564"/>
    <w:rsid w:val="00CA75A5"/>
    <w:rsid w:val="00CA7BD4"/>
    <w:rsid w:val="00CB06E3"/>
    <w:rsid w:val="00CB0BD0"/>
    <w:rsid w:val="00CB0D4E"/>
    <w:rsid w:val="00CB1964"/>
    <w:rsid w:val="00CB196E"/>
    <w:rsid w:val="00CB2224"/>
    <w:rsid w:val="00CB231D"/>
    <w:rsid w:val="00CB232A"/>
    <w:rsid w:val="00CB24B1"/>
    <w:rsid w:val="00CB2515"/>
    <w:rsid w:val="00CB33E6"/>
    <w:rsid w:val="00CB39D1"/>
    <w:rsid w:val="00CB3F2C"/>
    <w:rsid w:val="00CB488C"/>
    <w:rsid w:val="00CB5363"/>
    <w:rsid w:val="00CB5704"/>
    <w:rsid w:val="00CB5833"/>
    <w:rsid w:val="00CB5B65"/>
    <w:rsid w:val="00CB602E"/>
    <w:rsid w:val="00CB6163"/>
    <w:rsid w:val="00CB62C3"/>
    <w:rsid w:val="00CB62F3"/>
    <w:rsid w:val="00CB65B6"/>
    <w:rsid w:val="00CB6B29"/>
    <w:rsid w:val="00CB6EA7"/>
    <w:rsid w:val="00CB73D6"/>
    <w:rsid w:val="00CB73E1"/>
    <w:rsid w:val="00CB74BF"/>
    <w:rsid w:val="00CB7B9B"/>
    <w:rsid w:val="00CB7D2D"/>
    <w:rsid w:val="00CB7FA9"/>
    <w:rsid w:val="00CC0F76"/>
    <w:rsid w:val="00CC1183"/>
    <w:rsid w:val="00CC127A"/>
    <w:rsid w:val="00CC391B"/>
    <w:rsid w:val="00CC4DAC"/>
    <w:rsid w:val="00CC51C0"/>
    <w:rsid w:val="00CC5376"/>
    <w:rsid w:val="00CC618D"/>
    <w:rsid w:val="00CC63AB"/>
    <w:rsid w:val="00CC6823"/>
    <w:rsid w:val="00CC6EE1"/>
    <w:rsid w:val="00CC73F5"/>
    <w:rsid w:val="00CC7749"/>
    <w:rsid w:val="00CC788B"/>
    <w:rsid w:val="00CD05E5"/>
    <w:rsid w:val="00CD0F16"/>
    <w:rsid w:val="00CD105D"/>
    <w:rsid w:val="00CD146A"/>
    <w:rsid w:val="00CD16AD"/>
    <w:rsid w:val="00CD1932"/>
    <w:rsid w:val="00CD1A17"/>
    <w:rsid w:val="00CD1B0E"/>
    <w:rsid w:val="00CD2118"/>
    <w:rsid w:val="00CD21B9"/>
    <w:rsid w:val="00CD2254"/>
    <w:rsid w:val="00CD243A"/>
    <w:rsid w:val="00CD2A42"/>
    <w:rsid w:val="00CD2D6C"/>
    <w:rsid w:val="00CD3C9A"/>
    <w:rsid w:val="00CD3EDE"/>
    <w:rsid w:val="00CD438B"/>
    <w:rsid w:val="00CD463D"/>
    <w:rsid w:val="00CD4805"/>
    <w:rsid w:val="00CD5495"/>
    <w:rsid w:val="00CD57FA"/>
    <w:rsid w:val="00CD5A6C"/>
    <w:rsid w:val="00CD5DED"/>
    <w:rsid w:val="00CD6CE1"/>
    <w:rsid w:val="00CD6FAE"/>
    <w:rsid w:val="00CD736D"/>
    <w:rsid w:val="00CD7AC9"/>
    <w:rsid w:val="00CD7AFD"/>
    <w:rsid w:val="00CE00EE"/>
    <w:rsid w:val="00CE01AB"/>
    <w:rsid w:val="00CE02E1"/>
    <w:rsid w:val="00CE05CE"/>
    <w:rsid w:val="00CE099C"/>
    <w:rsid w:val="00CE0A5C"/>
    <w:rsid w:val="00CE0B19"/>
    <w:rsid w:val="00CE0F80"/>
    <w:rsid w:val="00CE122E"/>
    <w:rsid w:val="00CE138E"/>
    <w:rsid w:val="00CE19DE"/>
    <w:rsid w:val="00CE1C45"/>
    <w:rsid w:val="00CE30A1"/>
    <w:rsid w:val="00CE42B3"/>
    <w:rsid w:val="00CE47C5"/>
    <w:rsid w:val="00CE47C8"/>
    <w:rsid w:val="00CE54EB"/>
    <w:rsid w:val="00CE557A"/>
    <w:rsid w:val="00CE5792"/>
    <w:rsid w:val="00CE5839"/>
    <w:rsid w:val="00CE641A"/>
    <w:rsid w:val="00CE6623"/>
    <w:rsid w:val="00CE69E9"/>
    <w:rsid w:val="00CE6A62"/>
    <w:rsid w:val="00CE6B05"/>
    <w:rsid w:val="00CE6CB3"/>
    <w:rsid w:val="00CE6FC7"/>
    <w:rsid w:val="00CE7826"/>
    <w:rsid w:val="00CE79ED"/>
    <w:rsid w:val="00CE7CF0"/>
    <w:rsid w:val="00CE7FDD"/>
    <w:rsid w:val="00CF01AE"/>
    <w:rsid w:val="00CF03CF"/>
    <w:rsid w:val="00CF0B9D"/>
    <w:rsid w:val="00CF0DBF"/>
    <w:rsid w:val="00CF0EFD"/>
    <w:rsid w:val="00CF151E"/>
    <w:rsid w:val="00CF2513"/>
    <w:rsid w:val="00CF2619"/>
    <w:rsid w:val="00CF2849"/>
    <w:rsid w:val="00CF2900"/>
    <w:rsid w:val="00CF2B9C"/>
    <w:rsid w:val="00CF3520"/>
    <w:rsid w:val="00CF354E"/>
    <w:rsid w:val="00CF38FC"/>
    <w:rsid w:val="00CF3A73"/>
    <w:rsid w:val="00CF3D57"/>
    <w:rsid w:val="00CF4099"/>
    <w:rsid w:val="00CF450B"/>
    <w:rsid w:val="00CF4A94"/>
    <w:rsid w:val="00CF4BA1"/>
    <w:rsid w:val="00CF4D30"/>
    <w:rsid w:val="00CF4FB1"/>
    <w:rsid w:val="00CF5118"/>
    <w:rsid w:val="00CF53F0"/>
    <w:rsid w:val="00CF5A3E"/>
    <w:rsid w:val="00CF5A55"/>
    <w:rsid w:val="00CF5D3B"/>
    <w:rsid w:val="00CF5DD1"/>
    <w:rsid w:val="00CF6719"/>
    <w:rsid w:val="00CF717A"/>
    <w:rsid w:val="00CF73EE"/>
    <w:rsid w:val="00CF75BF"/>
    <w:rsid w:val="00CF7E85"/>
    <w:rsid w:val="00D009EC"/>
    <w:rsid w:val="00D00C8B"/>
    <w:rsid w:val="00D01469"/>
    <w:rsid w:val="00D01B37"/>
    <w:rsid w:val="00D02ADF"/>
    <w:rsid w:val="00D02B0C"/>
    <w:rsid w:val="00D03CBD"/>
    <w:rsid w:val="00D041B3"/>
    <w:rsid w:val="00D0425E"/>
    <w:rsid w:val="00D04295"/>
    <w:rsid w:val="00D0438C"/>
    <w:rsid w:val="00D04A16"/>
    <w:rsid w:val="00D0544E"/>
    <w:rsid w:val="00D055AD"/>
    <w:rsid w:val="00D05A33"/>
    <w:rsid w:val="00D05E94"/>
    <w:rsid w:val="00D05F42"/>
    <w:rsid w:val="00D061BA"/>
    <w:rsid w:val="00D06CAC"/>
    <w:rsid w:val="00D06CD9"/>
    <w:rsid w:val="00D06E0D"/>
    <w:rsid w:val="00D07531"/>
    <w:rsid w:val="00D0763D"/>
    <w:rsid w:val="00D07AC4"/>
    <w:rsid w:val="00D07C4E"/>
    <w:rsid w:val="00D10462"/>
    <w:rsid w:val="00D104FC"/>
    <w:rsid w:val="00D106BE"/>
    <w:rsid w:val="00D10E6C"/>
    <w:rsid w:val="00D11F95"/>
    <w:rsid w:val="00D12270"/>
    <w:rsid w:val="00D13583"/>
    <w:rsid w:val="00D14705"/>
    <w:rsid w:val="00D1473D"/>
    <w:rsid w:val="00D150F9"/>
    <w:rsid w:val="00D15DCC"/>
    <w:rsid w:val="00D1679C"/>
    <w:rsid w:val="00D16D0C"/>
    <w:rsid w:val="00D170CA"/>
    <w:rsid w:val="00D175D3"/>
    <w:rsid w:val="00D178BB"/>
    <w:rsid w:val="00D17BE1"/>
    <w:rsid w:val="00D17E6F"/>
    <w:rsid w:val="00D20519"/>
    <w:rsid w:val="00D20689"/>
    <w:rsid w:val="00D209F4"/>
    <w:rsid w:val="00D21193"/>
    <w:rsid w:val="00D21B70"/>
    <w:rsid w:val="00D21F60"/>
    <w:rsid w:val="00D221AC"/>
    <w:rsid w:val="00D223AB"/>
    <w:rsid w:val="00D22675"/>
    <w:rsid w:val="00D228AF"/>
    <w:rsid w:val="00D228B7"/>
    <w:rsid w:val="00D2360B"/>
    <w:rsid w:val="00D23CED"/>
    <w:rsid w:val="00D23E11"/>
    <w:rsid w:val="00D24937"/>
    <w:rsid w:val="00D259C9"/>
    <w:rsid w:val="00D25AD9"/>
    <w:rsid w:val="00D25F4D"/>
    <w:rsid w:val="00D2690D"/>
    <w:rsid w:val="00D271EA"/>
    <w:rsid w:val="00D27272"/>
    <w:rsid w:val="00D27339"/>
    <w:rsid w:val="00D27C1E"/>
    <w:rsid w:val="00D27DE4"/>
    <w:rsid w:val="00D27F9C"/>
    <w:rsid w:val="00D30049"/>
    <w:rsid w:val="00D30112"/>
    <w:rsid w:val="00D3058F"/>
    <w:rsid w:val="00D31402"/>
    <w:rsid w:val="00D317FC"/>
    <w:rsid w:val="00D31BB9"/>
    <w:rsid w:val="00D32989"/>
    <w:rsid w:val="00D332C0"/>
    <w:rsid w:val="00D33589"/>
    <w:rsid w:val="00D33A7E"/>
    <w:rsid w:val="00D33B35"/>
    <w:rsid w:val="00D33E98"/>
    <w:rsid w:val="00D34010"/>
    <w:rsid w:val="00D3519C"/>
    <w:rsid w:val="00D35645"/>
    <w:rsid w:val="00D356FF"/>
    <w:rsid w:val="00D359C6"/>
    <w:rsid w:val="00D359F6"/>
    <w:rsid w:val="00D3611E"/>
    <w:rsid w:val="00D364DC"/>
    <w:rsid w:val="00D36587"/>
    <w:rsid w:val="00D36F6E"/>
    <w:rsid w:val="00D36FE7"/>
    <w:rsid w:val="00D370CF"/>
    <w:rsid w:val="00D4012A"/>
    <w:rsid w:val="00D40DDB"/>
    <w:rsid w:val="00D42131"/>
    <w:rsid w:val="00D42B57"/>
    <w:rsid w:val="00D42BE9"/>
    <w:rsid w:val="00D42C9B"/>
    <w:rsid w:val="00D42D93"/>
    <w:rsid w:val="00D43420"/>
    <w:rsid w:val="00D434CF"/>
    <w:rsid w:val="00D43758"/>
    <w:rsid w:val="00D4436A"/>
    <w:rsid w:val="00D44712"/>
    <w:rsid w:val="00D452D3"/>
    <w:rsid w:val="00D455DD"/>
    <w:rsid w:val="00D459B3"/>
    <w:rsid w:val="00D45CAA"/>
    <w:rsid w:val="00D46A55"/>
    <w:rsid w:val="00D4743E"/>
    <w:rsid w:val="00D4760C"/>
    <w:rsid w:val="00D47624"/>
    <w:rsid w:val="00D50513"/>
    <w:rsid w:val="00D50CE4"/>
    <w:rsid w:val="00D50FF6"/>
    <w:rsid w:val="00D511AE"/>
    <w:rsid w:val="00D51365"/>
    <w:rsid w:val="00D517C6"/>
    <w:rsid w:val="00D51C6C"/>
    <w:rsid w:val="00D52727"/>
    <w:rsid w:val="00D534DC"/>
    <w:rsid w:val="00D53BEC"/>
    <w:rsid w:val="00D5493B"/>
    <w:rsid w:val="00D54C2C"/>
    <w:rsid w:val="00D55782"/>
    <w:rsid w:val="00D55925"/>
    <w:rsid w:val="00D559A3"/>
    <w:rsid w:val="00D55AF2"/>
    <w:rsid w:val="00D55B9B"/>
    <w:rsid w:val="00D55BD3"/>
    <w:rsid w:val="00D560DF"/>
    <w:rsid w:val="00D56154"/>
    <w:rsid w:val="00D569D6"/>
    <w:rsid w:val="00D56B15"/>
    <w:rsid w:val="00D572A0"/>
    <w:rsid w:val="00D57BD4"/>
    <w:rsid w:val="00D61181"/>
    <w:rsid w:val="00D613B1"/>
    <w:rsid w:val="00D61616"/>
    <w:rsid w:val="00D617CB"/>
    <w:rsid w:val="00D6184E"/>
    <w:rsid w:val="00D6185B"/>
    <w:rsid w:val="00D6193C"/>
    <w:rsid w:val="00D619AB"/>
    <w:rsid w:val="00D61BE8"/>
    <w:rsid w:val="00D620EC"/>
    <w:rsid w:val="00D6219F"/>
    <w:rsid w:val="00D6274A"/>
    <w:rsid w:val="00D62897"/>
    <w:rsid w:val="00D62B6F"/>
    <w:rsid w:val="00D6344C"/>
    <w:rsid w:val="00D6357A"/>
    <w:rsid w:val="00D6384B"/>
    <w:rsid w:val="00D640E5"/>
    <w:rsid w:val="00D643B5"/>
    <w:rsid w:val="00D647F7"/>
    <w:rsid w:val="00D64C58"/>
    <w:rsid w:val="00D65469"/>
    <w:rsid w:val="00D65DB5"/>
    <w:rsid w:val="00D65DEE"/>
    <w:rsid w:val="00D66809"/>
    <w:rsid w:val="00D6687A"/>
    <w:rsid w:val="00D672B3"/>
    <w:rsid w:val="00D67378"/>
    <w:rsid w:val="00D675BE"/>
    <w:rsid w:val="00D70F15"/>
    <w:rsid w:val="00D71293"/>
    <w:rsid w:val="00D71C58"/>
    <w:rsid w:val="00D71DD4"/>
    <w:rsid w:val="00D7203D"/>
    <w:rsid w:val="00D722D5"/>
    <w:rsid w:val="00D72749"/>
    <w:rsid w:val="00D7278E"/>
    <w:rsid w:val="00D72B09"/>
    <w:rsid w:val="00D72C5A"/>
    <w:rsid w:val="00D72E61"/>
    <w:rsid w:val="00D72FA6"/>
    <w:rsid w:val="00D732C3"/>
    <w:rsid w:val="00D73952"/>
    <w:rsid w:val="00D73FA2"/>
    <w:rsid w:val="00D747F9"/>
    <w:rsid w:val="00D75080"/>
    <w:rsid w:val="00D753A9"/>
    <w:rsid w:val="00D75810"/>
    <w:rsid w:val="00D75D7A"/>
    <w:rsid w:val="00D7603F"/>
    <w:rsid w:val="00D76585"/>
    <w:rsid w:val="00D76763"/>
    <w:rsid w:val="00D76B74"/>
    <w:rsid w:val="00D76B84"/>
    <w:rsid w:val="00D76DF8"/>
    <w:rsid w:val="00D773E0"/>
    <w:rsid w:val="00D77BC1"/>
    <w:rsid w:val="00D8035C"/>
    <w:rsid w:val="00D80EB5"/>
    <w:rsid w:val="00D81041"/>
    <w:rsid w:val="00D811B0"/>
    <w:rsid w:val="00D81200"/>
    <w:rsid w:val="00D813CB"/>
    <w:rsid w:val="00D81A1D"/>
    <w:rsid w:val="00D81C5C"/>
    <w:rsid w:val="00D82838"/>
    <w:rsid w:val="00D82B22"/>
    <w:rsid w:val="00D82F46"/>
    <w:rsid w:val="00D830E1"/>
    <w:rsid w:val="00D83A90"/>
    <w:rsid w:val="00D842AA"/>
    <w:rsid w:val="00D845D8"/>
    <w:rsid w:val="00D846BE"/>
    <w:rsid w:val="00D848C0"/>
    <w:rsid w:val="00D84DF9"/>
    <w:rsid w:val="00D85293"/>
    <w:rsid w:val="00D852E2"/>
    <w:rsid w:val="00D85809"/>
    <w:rsid w:val="00D85EB4"/>
    <w:rsid w:val="00D865EC"/>
    <w:rsid w:val="00D86977"/>
    <w:rsid w:val="00D87258"/>
    <w:rsid w:val="00D874EF"/>
    <w:rsid w:val="00D877B6"/>
    <w:rsid w:val="00D879D4"/>
    <w:rsid w:val="00D91CE2"/>
    <w:rsid w:val="00D92ECE"/>
    <w:rsid w:val="00D93212"/>
    <w:rsid w:val="00D93870"/>
    <w:rsid w:val="00D939A8"/>
    <w:rsid w:val="00D94043"/>
    <w:rsid w:val="00D940A1"/>
    <w:rsid w:val="00D9490C"/>
    <w:rsid w:val="00D94A6F"/>
    <w:rsid w:val="00D94DBF"/>
    <w:rsid w:val="00D951EB"/>
    <w:rsid w:val="00D954E0"/>
    <w:rsid w:val="00D95581"/>
    <w:rsid w:val="00D9583E"/>
    <w:rsid w:val="00D960F5"/>
    <w:rsid w:val="00D96B17"/>
    <w:rsid w:val="00D96D60"/>
    <w:rsid w:val="00D96DAF"/>
    <w:rsid w:val="00D96EAC"/>
    <w:rsid w:val="00D97396"/>
    <w:rsid w:val="00D97C40"/>
    <w:rsid w:val="00DA005A"/>
    <w:rsid w:val="00DA0563"/>
    <w:rsid w:val="00DA0F07"/>
    <w:rsid w:val="00DA13C1"/>
    <w:rsid w:val="00DA1535"/>
    <w:rsid w:val="00DA171E"/>
    <w:rsid w:val="00DA1B4E"/>
    <w:rsid w:val="00DA1CBC"/>
    <w:rsid w:val="00DA2534"/>
    <w:rsid w:val="00DA27EA"/>
    <w:rsid w:val="00DA35D1"/>
    <w:rsid w:val="00DA39B4"/>
    <w:rsid w:val="00DA3EEA"/>
    <w:rsid w:val="00DA3FE3"/>
    <w:rsid w:val="00DA41C8"/>
    <w:rsid w:val="00DA4848"/>
    <w:rsid w:val="00DA4B5A"/>
    <w:rsid w:val="00DA55A1"/>
    <w:rsid w:val="00DA5831"/>
    <w:rsid w:val="00DA5B0A"/>
    <w:rsid w:val="00DA5B2E"/>
    <w:rsid w:val="00DA5C12"/>
    <w:rsid w:val="00DA5FAF"/>
    <w:rsid w:val="00DA6C53"/>
    <w:rsid w:val="00DA70CE"/>
    <w:rsid w:val="00DA7314"/>
    <w:rsid w:val="00DA7C7B"/>
    <w:rsid w:val="00DA7CDB"/>
    <w:rsid w:val="00DA7EE9"/>
    <w:rsid w:val="00DA7F7E"/>
    <w:rsid w:val="00DB074F"/>
    <w:rsid w:val="00DB0C12"/>
    <w:rsid w:val="00DB1360"/>
    <w:rsid w:val="00DB13F6"/>
    <w:rsid w:val="00DB1649"/>
    <w:rsid w:val="00DB1950"/>
    <w:rsid w:val="00DB1B7E"/>
    <w:rsid w:val="00DB1CD7"/>
    <w:rsid w:val="00DB1ED0"/>
    <w:rsid w:val="00DB2377"/>
    <w:rsid w:val="00DB25AD"/>
    <w:rsid w:val="00DB262D"/>
    <w:rsid w:val="00DB26AD"/>
    <w:rsid w:val="00DB2F19"/>
    <w:rsid w:val="00DB3436"/>
    <w:rsid w:val="00DB366E"/>
    <w:rsid w:val="00DB3B5B"/>
    <w:rsid w:val="00DB404F"/>
    <w:rsid w:val="00DB43F1"/>
    <w:rsid w:val="00DB45F9"/>
    <w:rsid w:val="00DB4638"/>
    <w:rsid w:val="00DB47AD"/>
    <w:rsid w:val="00DB47CE"/>
    <w:rsid w:val="00DB4AAA"/>
    <w:rsid w:val="00DB4B59"/>
    <w:rsid w:val="00DB4CFE"/>
    <w:rsid w:val="00DB4EAC"/>
    <w:rsid w:val="00DB5BAE"/>
    <w:rsid w:val="00DB5C38"/>
    <w:rsid w:val="00DB671E"/>
    <w:rsid w:val="00DB6A8F"/>
    <w:rsid w:val="00DB6D0C"/>
    <w:rsid w:val="00DB712D"/>
    <w:rsid w:val="00DB7430"/>
    <w:rsid w:val="00DB7754"/>
    <w:rsid w:val="00DB7956"/>
    <w:rsid w:val="00DC00CD"/>
    <w:rsid w:val="00DC025E"/>
    <w:rsid w:val="00DC02DE"/>
    <w:rsid w:val="00DC0356"/>
    <w:rsid w:val="00DC055D"/>
    <w:rsid w:val="00DC05B9"/>
    <w:rsid w:val="00DC05DA"/>
    <w:rsid w:val="00DC05E1"/>
    <w:rsid w:val="00DC09E5"/>
    <w:rsid w:val="00DC0A50"/>
    <w:rsid w:val="00DC0A97"/>
    <w:rsid w:val="00DC1B3D"/>
    <w:rsid w:val="00DC1C88"/>
    <w:rsid w:val="00DC1D34"/>
    <w:rsid w:val="00DC201F"/>
    <w:rsid w:val="00DC2098"/>
    <w:rsid w:val="00DC23BB"/>
    <w:rsid w:val="00DC2682"/>
    <w:rsid w:val="00DC3257"/>
    <w:rsid w:val="00DC4B6F"/>
    <w:rsid w:val="00DC583C"/>
    <w:rsid w:val="00DC5C49"/>
    <w:rsid w:val="00DC685B"/>
    <w:rsid w:val="00DC6A1A"/>
    <w:rsid w:val="00DC6C38"/>
    <w:rsid w:val="00DC6F8C"/>
    <w:rsid w:val="00DC7214"/>
    <w:rsid w:val="00DC742E"/>
    <w:rsid w:val="00DC7684"/>
    <w:rsid w:val="00DC794C"/>
    <w:rsid w:val="00DC79F2"/>
    <w:rsid w:val="00DC7C87"/>
    <w:rsid w:val="00DC7D54"/>
    <w:rsid w:val="00DC7E9C"/>
    <w:rsid w:val="00DC7F29"/>
    <w:rsid w:val="00DC7F79"/>
    <w:rsid w:val="00DD0233"/>
    <w:rsid w:val="00DD02CB"/>
    <w:rsid w:val="00DD07BB"/>
    <w:rsid w:val="00DD0AF3"/>
    <w:rsid w:val="00DD0C6B"/>
    <w:rsid w:val="00DD1115"/>
    <w:rsid w:val="00DD121B"/>
    <w:rsid w:val="00DD162E"/>
    <w:rsid w:val="00DD1AC3"/>
    <w:rsid w:val="00DD1B0B"/>
    <w:rsid w:val="00DD268E"/>
    <w:rsid w:val="00DD26ED"/>
    <w:rsid w:val="00DD2848"/>
    <w:rsid w:val="00DD28C5"/>
    <w:rsid w:val="00DD2C62"/>
    <w:rsid w:val="00DD2F45"/>
    <w:rsid w:val="00DD30E2"/>
    <w:rsid w:val="00DD369B"/>
    <w:rsid w:val="00DD3892"/>
    <w:rsid w:val="00DD3A2C"/>
    <w:rsid w:val="00DD411C"/>
    <w:rsid w:val="00DD4445"/>
    <w:rsid w:val="00DD4778"/>
    <w:rsid w:val="00DD4B3D"/>
    <w:rsid w:val="00DD52DE"/>
    <w:rsid w:val="00DD543B"/>
    <w:rsid w:val="00DD5DA2"/>
    <w:rsid w:val="00DD5EA9"/>
    <w:rsid w:val="00DD62CC"/>
    <w:rsid w:val="00DD65C4"/>
    <w:rsid w:val="00DD66C6"/>
    <w:rsid w:val="00DD684E"/>
    <w:rsid w:val="00DD6B19"/>
    <w:rsid w:val="00DD70E8"/>
    <w:rsid w:val="00DD7149"/>
    <w:rsid w:val="00DD7EF9"/>
    <w:rsid w:val="00DD7F68"/>
    <w:rsid w:val="00DE0088"/>
    <w:rsid w:val="00DE0950"/>
    <w:rsid w:val="00DE0B75"/>
    <w:rsid w:val="00DE1DE3"/>
    <w:rsid w:val="00DE1E3B"/>
    <w:rsid w:val="00DE239D"/>
    <w:rsid w:val="00DE245C"/>
    <w:rsid w:val="00DE2E6E"/>
    <w:rsid w:val="00DE311F"/>
    <w:rsid w:val="00DE347C"/>
    <w:rsid w:val="00DE34D9"/>
    <w:rsid w:val="00DE3630"/>
    <w:rsid w:val="00DE37EE"/>
    <w:rsid w:val="00DE39AF"/>
    <w:rsid w:val="00DE3DF1"/>
    <w:rsid w:val="00DE3E1C"/>
    <w:rsid w:val="00DE48BC"/>
    <w:rsid w:val="00DE4AF6"/>
    <w:rsid w:val="00DE52D8"/>
    <w:rsid w:val="00DE5487"/>
    <w:rsid w:val="00DE54C4"/>
    <w:rsid w:val="00DE56C5"/>
    <w:rsid w:val="00DE5B48"/>
    <w:rsid w:val="00DE5BA5"/>
    <w:rsid w:val="00DE5BF0"/>
    <w:rsid w:val="00DE5F95"/>
    <w:rsid w:val="00DE7055"/>
    <w:rsid w:val="00DE734B"/>
    <w:rsid w:val="00DE7681"/>
    <w:rsid w:val="00DE7DB8"/>
    <w:rsid w:val="00DF06BE"/>
    <w:rsid w:val="00DF07A6"/>
    <w:rsid w:val="00DF07E6"/>
    <w:rsid w:val="00DF0BDA"/>
    <w:rsid w:val="00DF0F17"/>
    <w:rsid w:val="00DF1080"/>
    <w:rsid w:val="00DF12FA"/>
    <w:rsid w:val="00DF14BB"/>
    <w:rsid w:val="00DF14F7"/>
    <w:rsid w:val="00DF1903"/>
    <w:rsid w:val="00DF1CBF"/>
    <w:rsid w:val="00DF214D"/>
    <w:rsid w:val="00DF32D9"/>
    <w:rsid w:val="00DF3367"/>
    <w:rsid w:val="00DF345F"/>
    <w:rsid w:val="00DF363E"/>
    <w:rsid w:val="00DF458B"/>
    <w:rsid w:val="00DF4773"/>
    <w:rsid w:val="00DF498E"/>
    <w:rsid w:val="00DF4B68"/>
    <w:rsid w:val="00DF4B6C"/>
    <w:rsid w:val="00DF51B3"/>
    <w:rsid w:val="00DF5A49"/>
    <w:rsid w:val="00DF60B6"/>
    <w:rsid w:val="00DF6434"/>
    <w:rsid w:val="00DF643A"/>
    <w:rsid w:val="00DF68C0"/>
    <w:rsid w:val="00DF6D85"/>
    <w:rsid w:val="00DF744D"/>
    <w:rsid w:val="00DF755F"/>
    <w:rsid w:val="00DF7E3E"/>
    <w:rsid w:val="00E00062"/>
    <w:rsid w:val="00E0038F"/>
    <w:rsid w:val="00E00858"/>
    <w:rsid w:val="00E00A26"/>
    <w:rsid w:val="00E00B7D"/>
    <w:rsid w:val="00E00FA4"/>
    <w:rsid w:val="00E011F9"/>
    <w:rsid w:val="00E01447"/>
    <w:rsid w:val="00E01945"/>
    <w:rsid w:val="00E01C4E"/>
    <w:rsid w:val="00E022C1"/>
    <w:rsid w:val="00E024B2"/>
    <w:rsid w:val="00E02620"/>
    <w:rsid w:val="00E02846"/>
    <w:rsid w:val="00E02F78"/>
    <w:rsid w:val="00E03066"/>
    <w:rsid w:val="00E0328D"/>
    <w:rsid w:val="00E032E2"/>
    <w:rsid w:val="00E033C5"/>
    <w:rsid w:val="00E037C8"/>
    <w:rsid w:val="00E038EB"/>
    <w:rsid w:val="00E040B9"/>
    <w:rsid w:val="00E04D41"/>
    <w:rsid w:val="00E04EB1"/>
    <w:rsid w:val="00E05DCA"/>
    <w:rsid w:val="00E0612A"/>
    <w:rsid w:val="00E067F9"/>
    <w:rsid w:val="00E06B9A"/>
    <w:rsid w:val="00E0719D"/>
    <w:rsid w:val="00E07350"/>
    <w:rsid w:val="00E07BA3"/>
    <w:rsid w:val="00E10A14"/>
    <w:rsid w:val="00E10DEF"/>
    <w:rsid w:val="00E114A2"/>
    <w:rsid w:val="00E1249A"/>
    <w:rsid w:val="00E124EE"/>
    <w:rsid w:val="00E1257C"/>
    <w:rsid w:val="00E1260A"/>
    <w:rsid w:val="00E12822"/>
    <w:rsid w:val="00E128A4"/>
    <w:rsid w:val="00E1293D"/>
    <w:rsid w:val="00E13185"/>
    <w:rsid w:val="00E13307"/>
    <w:rsid w:val="00E140AC"/>
    <w:rsid w:val="00E14283"/>
    <w:rsid w:val="00E1488B"/>
    <w:rsid w:val="00E150FF"/>
    <w:rsid w:val="00E151EB"/>
    <w:rsid w:val="00E1553B"/>
    <w:rsid w:val="00E163ED"/>
    <w:rsid w:val="00E16641"/>
    <w:rsid w:val="00E17B5B"/>
    <w:rsid w:val="00E17D5E"/>
    <w:rsid w:val="00E2029F"/>
    <w:rsid w:val="00E20A0D"/>
    <w:rsid w:val="00E21774"/>
    <w:rsid w:val="00E21E11"/>
    <w:rsid w:val="00E21E17"/>
    <w:rsid w:val="00E220E2"/>
    <w:rsid w:val="00E22156"/>
    <w:rsid w:val="00E22C7A"/>
    <w:rsid w:val="00E23604"/>
    <w:rsid w:val="00E23D84"/>
    <w:rsid w:val="00E24311"/>
    <w:rsid w:val="00E2475B"/>
    <w:rsid w:val="00E24CF0"/>
    <w:rsid w:val="00E24E3D"/>
    <w:rsid w:val="00E24E62"/>
    <w:rsid w:val="00E24FED"/>
    <w:rsid w:val="00E254D3"/>
    <w:rsid w:val="00E25653"/>
    <w:rsid w:val="00E25666"/>
    <w:rsid w:val="00E25768"/>
    <w:rsid w:val="00E267E7"/>
    <w:rsid w:val="00E26DAA"/>
    <w:rsid w:val="00E272C4"/>
    <w:rsid w:val="00E2753D"/>
    <w:rsid w:val="00E27582"/>
    <w:rsid w:val="00E2760B"/>
    <w:rsid w:val="00E30496"/>
    <w:rsid w:val="00E30B87"/>
    <w:rsid w:val="00E30CE9"/>
    <w:rsid w:val="00E30E43"/>
    <w:rsid w:val="00E31019"/>
    <w:rsid w:val="00E3149E"/>
    <w:rsid w:val="00E317EB"/>
    <w:rsid w:val="00E31AA0"/>
    <w:rsid w:val="00E31CE2"/>
    <w:rsid w:val="00E31D0C"/>
    <w:rsid w:val="00E31D94"/>
    <w:rsid w:val="00E320A4"/>
    <w:rsid w:val="00E3219D"/>
    <w:rsid w:val="00E321A9"/>
    <w:rsid w:val="00E32322"/>
    <w:rsid w:val="00E32842"/>
    <w:rsid w:val="00E3328A"/>
    <w:rsid w:val="00E3329D"/>
    <w:rsid w:val="00E33A29"/>
    <w:rsid w:val="00E33AF7"/>
    <w:rsid w:val="00E34034"/>
    <w:rsid w:val="00E35345"/>
    <w:rsid w:val="00E35514"/>
    <w:rsid w:val="00E35713"/>
    <w:rsid w:val="00E358C3"/>
    <w:rsid w:val="00E35A7C"/>
    <w:rsid w:val="00E35E1F"/>
    <w:rsid w:val="00E35F29"/>
    <w:rsid w:val="00E35FE0"/>
    <w:rsid w:val="00E360F5"/>
    <w:rsid w:val="00E3628B"/>
    <w:rsid w:val="00E36332"/>
    <w:rsid w:val="00E36BF4"/>
    <w:rsid w:val="00E37497"/>
    <w:rsid w:val="00E375EF"/>
    <w:rsid w:val="00E37662"/>
    <w:rsid w:val="00E37A67"/>
    <w:rsid w:val="00E37B62"/>
    <w:rsid w:val="00E40240"/>
    <w:rsid w:val="00E40A3D"/>
    <w:rsid w:val="00E40AEF"/>
    <w:rsid w:val="00E40B25"/>
    <w:rsid w:val="00E40F92"/>
    <w:rsid w:val="00E4116A"/>
    <w:rsid w:val="00E413DF"/>
    <w:rsid w:val="00E4160D"/>
    <w:rsid w:val="00E41630"/>
    <w:rsid w:val="00E41AFE"/>
    <w:rsid w:val="00E41BBD"/>
    <w:rsid w:val="00E42341"/>
    <w:rsid w:val="00E42954"/>
    <w:rsid w:val="00E42D6B"/>
    <w:rsid w:val="00E42EC8"/>
    <w:rsid w:val="00E43191"/>
    <w:rsid w:val="00E43490"/>
    <w:rsid w:val="00E43CCF"/>
    <w:rsid w:val="00E43E7E"/>
    <w:rsid w:val="00E44981"/>
    <w:rsid w:val="00E44DDF"/>
    <w:rsid w:val="00E44E6A"/>
    <w:rsid w:val="00E44F25"/>
    <w:rsid w:val="00E45729"/>
    <w:rsid w:val="00E45DE2"/>
    <w:rsid w:val="00E45EBB"/>
    <w:rsid w:val="00E460E3"/>
    <w:rsid w:val="00E465AA"/>
    <w:rsid w:val="00E46BE3"/>
    <w:rsid w:val="00E46CF7"/>
    <w:rsid w:val="00E471F0"/>
    <w:rsid w:val="00E4735B"/>
    <w:rsid w:val="00E47542"/>
    <w:rsid w:val="00E477B4"/>
    <w:rsid w:val="00E479E2"/>
    <w:rsid w:val="00E47AFF"/>
    <w:rsid w:val="00E47C88"/>
    <w:rsid w:val="00E511F8"/>
    <w:rsid w:val="00E519F5"/>
    <w:rsid w:val="00E51A79"/>
    <w:rsid w:val="00E5207D"/>
    <w:rsid w:val="00E52172"/>
    <w:rsid w:val="00E5232F"/>
    <w:rsid w:val="00E52627"/>
    <w:rsid w:val="00E52F4B"/>
    <w:rsid w:val="00E53113"/>
    <w:rsid w:val="00E535AC"/>
    <w:rsid w:val="00E5380D"/>
    <w:rsid w:val="00E53A0C"/>
    <w:rsid w:val="00E53B81"/>
    <w:rsid w:val="00E541E2"/>
    <w:rsid w:val="00E542FA"/>
    <w:rsid w:val="00E55446"/>
    <w:rsid w:val="00E5579F"/>
    <w:rsid w:val="00E55CAE"/>
    <w:rsid w:val="00E55CC7"/>
    <w:rsid w:val="00E55CFA"/>
    <w:rsid w:val="00E55D3C"/>
    <w:rsid w:val="00E55DCD"/>
    <w:rsid w:val="00E55EA6"/>
    <w:rsid w:val="00E5639B"/>
    <w:rsid w:val="00E565FD"/>
    <w:rsid w:val="00E56BF0"/>
    <w:rsid w:val="00E57FCB"/>
    <w:rsid w:val="00E60080"/>
    <w:rsid w:val="00E60AB9"/>
    <w:rsid w:val="00E60AD7"/>
    <w:rsid w:val="00E61983"/>
    <w:rsid w:val="00E61B49"/>
    <w:rsid w:val="00E61DB6"/>
    <w:rsid w:val="00E61E12"/>
    <w:rsid w:val="00E621A2"/>
    <w:rsid w:val="00E62889"/>
    <w:rsid w:val="00E628C8"/>
    <w:rsid w:val="00E62AA1"/>
    <w:rsid w:val="00E632AC"/>
    <w:rsid w:val="00E638C0"/>
    <w:rsid w:val="00E63936"/>
    <w:rsid w:val="00E63E25"/>
    <w:rsid w:val="00E65513"/>
    <w:rsid w:val="00E656E4"/>
    <w:rsid w:val="00E65F32"/>
    <w:rsid w:val="00E6623E"/>
    <w:rsid w:val="00E66550"/>
    <w:rsid w:val="00E670E7"/>
    <w:rsid w:val="00E6730F"/>
    <w:rsid w:val="00E676C9"/>
    <w:rsid w:val="00E70030"/>
    <w:rsid w:val="00E7038E"/>
    <w:rsid w:val="00E706E9"/>
    <w:rsid w:val="00E70891"/>
    <w:rsid w:val="00E709D3"/>
    <w:rsid w:val="00E71D63"/>
    <w:rsid w:val="00E73877"/>
    <w:rsid w:val="00E7424B"/>
    <w:rsid w:val="00E74457"/>
    <w:rsid w:val="00E7463A"/>
    <w:rsid w:val="00E75B4B"/>
    <w:rsid w:val="00E75B6D"/>
    <w:rsid w:val="00E75FD5"/>
    <w:rsid w:val="00E7686D"/>
    <w:rsid w:val="00E76D01"/>
    <w:rsid w:val="00E77302"/>
    <w:rsid w:val="00E775A5"/>
    <w:rsid w:val="00E77628"/>
    <w:rsid w:val="00E7764D"/>
    <w:rsid w:val="00E7798E"/>
    <w:rsid w:val="00E77C38"/>
    <w:rsid w:val="00E77E21"/>
    <w:rsid w:val="00E77F41"/>
    <w:rsid w:val="00E80F37"/>
    <w:rsid w:val="00E8106F"/>
    <w:rsid w:val="00E81B04"/>
    <w:rsid w:val="00E81BDC"/>
    <w:rsid w:val="00E82236"/>
    <w:rsid w:val="00E8287D"/>
    <w:rsid w:val="00E839FB"/>
    <w:rsid w:val="00E83C02"/>
    <w:rsid w:val="00E84294"/>
    <w:rsid w:val="00E842CD"/>
    <w:rsid w:val="00E848CB"/>
    <w:rsid w:val="00E8491A"/>
    <w:rsid w:val="00E8495F"/>
    <w:rsid w:val="00E84C01"/>
    <w:rsid w:val="00E84CC7"/>
    <w:rsid w:val="00E84D8F"/>
    <w:rsid w:val="00E84F06"/>
    <w:rsid w:val="00E85364"/>
    <w:rsid w:val="00E85702"/>
    <w:rsid w:val="00E859CB"/>
    <w:rsid w:val="00E8638C"/>
    <w:rsid w:val="00E8638D"/>
    <w:rsid w:val="00E86571"/>
    <w:rsid w:val="00E867D4"/>
    <w:rsid w:val="00E86D92"/>
    <w:rsid w:val="00E8772F"/>
    <w:rsid w:val="00E8779E"/>
    <w:rsid w:val="00E87BCE"/>
    <w:rsid w:val="00E87C77"/>
    <w:rsid w:val="00E9042A"/>
    <w:rsid w:val="00E9055B"/>
    <w:rsid w:val="00E90624"/>
    <w:rsid w:val="00E9066B"/>
    <w:rsid w:val="00E90719"/>
    <w:rsid w:val="00E90FB1"/>
    <w:rsid w:val="00E90FE0"/>
    <w:rsid w:val="00E92108"/>
    <w:rsid w:val="00E9234E"/>
    <w:rsid w:val="00E92813"/>
    <w:rsid w:val="00E9347C"/>
    <w:rsid w:val="00E93490"/>
    <w:rsid w:val="00E93846"/>
    <w:rsid w:val="00E93B2B"/>
    <w:rsid w:val="00E94A43"/>
    <w:rsid w:val="00E94AEB"/>
    <w:rsid w:val="00E950B5"/>
    <w:rsid w:val="00E95157"/>
    <w:rsid w:val="00E95C6D"/>
    <w:rsid w:val="00E95D6D"/>
    <w:rsid w:val="00E96B62"/>
    <w:rsid w:val="00E96F42"/>
    <w:rsid w:val="00E9705E"/>
    <w:rsid w:val="00E97096"/>
    <w:rsid w:val="00E97570"/>
    <w:rsid w:val="00E979FE"/>
    <w:rsid w:val="00E97E79"/>
    <w:rsid w:val="00EA0932"/>
    <w:rsid w:val="00EA09C6"/>
    <w:rsid w:val="00EA158F"/>
    <w:rsid w:val="00EA1BF7"/>
    <w:rsid w:val="00EA226E"/>
    <w:rsid w:val="00EA31DC"/>
    <w:rsid w:val="00EA3B31"/>
    <w:rsid w:val="00EA4327"/>
    <w:rsid w:val="00EA43F8"/>
    <w:rsid w:val="00EA4512"/>
    <w:rsid w:val="00EA47DC"/>
    <w:rsid w:val="00EA4A37"/>
    <w:rsid w:val="00EA5267"/>
    <w:rsid w:val="00EA52DC"/>
    <w:rsid w:val="00EA6151"/>
    <w:rsid w:val="00EA61BA"/>
    <w:rsid w:val="00EA626B"/>
    <w:rsid w:val="00EA6669"/>
    <w:rsid w:val="00EA6997"/>
    <w:rsid w:val="00EA69C2"/>
    <w:rsid w:val="00EA6E26"/>
    <w:rsid w:val="00EA6FB4"/>
    <w:rsid w:val="00EA7306"/>
    <w:rsid w:val="00EA7483"/>
    <w:rsid w:val="00EA74E7"/>
    <w:rsid w:val="00EA7881"/>
    <w:rsid w:val="00EA7CE9"/>
    <w:rsid w:val="00EB084F"/>
    <w:rsid w:val="00EB088A"/>
    <w:rsid w:val="00EB088F"/>
    <w:rsid w:val="00EB142B"/>
    <w:rsid w:val="00EB14DB"/>
    <w:rsid w:val="00EB14DE"/>
    <w:rsid w:val="00EB1826"/>
    <w:rsid w:val="00EB1A38"/>
    <w:rsid w:val="00EB21E5"/>
    <w:rsid w:val="00EB24FA"/>
    <w:rsid w:val="00EB27BF"/>
    <w:rsid w:val="00EB2CF2"/>
    <w:rsid w:val="00EB2F0A"/>
    <w:rsid w:val="00EB352E"/>
    <w:rsid w:val="00EB355A"/>
    <w:rsid w:val="00EB364C"/>
    <w:rsid w:val="00EB3A6F"/>
    <w:rsid w:val="00EB3D59"/>
    <w:rsid w:val="00EB3EDF"/>
    <w:rsid w:val="00EB3F2A"/>
    <w:rsid w:val="00EB43DE"/>
    <w:rsid w:val="00EB4A35"/>
    <w:rsid w:val="00EB4F2B"/>
    <w:rsid w:val="00EB5618"/>
    <w:rsid w:val="00EB56E3"/>
    <w:rsid w:val="00EB5727"/>
    <w:rsid w:val="00EB6098"/>
    <w:rsid w:val="00EB6187"/>
    <w:rsid w:val="00EB6223"/>
    <w:rsid w:val="00EB6E01"/>
    <w:rsid w:val="00EB6FA5"/>
    <w:rsid w:val="00EB7327"/>
    <w:rsid w:val="00EB77E7"/>
    <w:rsid w:val="00EB7988"/>
    <w:rsid w:val="00EB7A2C"/>
    <w:rsid w:val="00EB7EF7"/>
    <w:rsid w:val="00EC0065"/>
    <w:rsid w:val="00EC0352"/>
    <w:rsid w:val="00EC0739"/>
    <w:rsid w:val="00EC0AD1"/>
    <w:rsid w:val="00EC0AFE"/>
    <w:rsid w:val="00EC1283"/>
    <w:rsid w:val="00EC1680"/>
    <w:rsid w:val="00EC1B96"/>
    <w:rsid w:val="00EC1E25"/>
    <w:rsid w:val="00EC297A"/>
    <w:rsid w:val="00EC29ED"/>
    <w:rsid w:val="00EC2ADF"/>
    <w:rsid w:val="00EC2CC9"/>
    <w:rsid w:val="00EC30F5"/>
    <w:rsid w:val="00EC396B"/>
    <w:rsid w:val="00EC3F1A"/>
    <w:rsid w:val="00EC405F"/>
    <w:rsid w:val="00EC40B6"/>
    <w:rsid w:val="00EC4112"/>
    <w:rsid w:val="00EC422A"/>
    <w:rsid w:val="00EC5196"/>
    <w:rsid w:val="00EC565E"/>
    <w:rsid w:val="00EC5978"/>
    <w:rsid w:val="00EC5B0C"/>
    <w:rsid w:val="00EC5FD1"/>
    <w:rsid w:val="00EC6328"/>
    <w:rsid w:val="00EC7F79"/>
    <w:rsid w:val="00EC7FB3"/>
    <w:rsid w:val="00ED0509"/>
    <w:rsid w:val="00ED05BE"/>
    <w:rsid w:val="00ED0A14"/>
    <w:rsid w:val="00ED158A"/>
    <w:rsid w:val="00ED1C74"/>
    <w:rsid w:val="00ED1EC1"/>
    <w:rsid w:val="00ED21DE"/>
    <w:rsid w:val="00ED2A14"/>
    <w:rsid w:val="00ED2ABC"/>
    <w:rsid w:val="00ED2C8F"/>
    <w:rsid w:val="00ED2DF5"/>
    <w:rsid w:val="00ED37A5"/>
    <w:rsid w:val="00ED3966"/>
    <w:rsid w:val="00ED4309"/>
    <w:rsid w:val="00ED4490"/>
    <w:rsid w:val="00ED459D"/>
    <w:rsid w:val="00ED4928"/>
    <w:rsid w:val="00ED4C1A"/>
    <w:rsid w:val="00ED4E8F"/>
    <w:rsid w:val="00ED51A1"/>
    <w:rsid w:val="00ED546F"/>
    <w:rsid w:val="00ED5ACB"/>
    <w:rsid w:val="00ED5BF0"/>
    <w:rsid w:val="00ED62A8"/>
    <w:rsid w:val="00ED64FA"/>
    <w:rsid w:val="00ED6672"/>
    <w:rsid w:val="00ED676E"/>
    <w:rsid w:val="00ED6925"/>
    <w:rsid w:val="00ED6A8C"/>
    <w:rsid w:val="00ED6DF4"/>
    <w:rsid w:val="00ED74B8"/>
    <w:rsid w:val="00EE0235"/>
    <w:rsid w:val="00EE13AB"/>
    <w:rsid w:val="00EE15E7"/>
    <w:rsid w:val="00EE1A0A"/>
    <w:rsid w:val="00EE1B67"/>
    <w:rsid w:val="00EE1E00"/>
    <w:rsid w:val="00EE206B"/>
    <w:rsid w:val="00EE3251"/>
    <w:rsid w:val="00EE32CE"/>
    <w:rsid w:val="00EE3305"/>
    <w:rsid w:val="00EE3C5C"/>
    <w:rsid w:val="00EE3E0E"/>
    <w:rsid w:val="00EE3F06"/>
    <w:rsid w:val="00EE40E4"/>
    <w:rsid w:val="00EE4995"/>
    <w:rsid w:val="00EE49F7"/>
    <w:rsid w:val="00EE4A31"/>
    <w:rsid w:val="00EE4E43"/>
    <w:rsid w:val="00EE4EB8"/>
    <w:rsid w:val="00EE50AC"/>
    <w:rsid w:val="00EE5653"/>
    <w:rsid w:val="00EE5887"/>
    <w:rsid w:val="00EE5A5F"/>
    <w:rsid w:val="00EE5DE5"/>
    <w:rsid w:val="00EE67EC"/>
    <w:rsid w:val="00EE6A72"/>
    <w:rsid w:val="00EE6CB3"/>
    <w:rsid w:val="00EE7341"/>
    <w:rsid w:val="00EE73E3"/>
    <w:rsid w:val="00EE7B73"/>
    <w:rsid w:val="00EE7BAA"/>
    <w:rsid w:val="00EE7CE3"/>
    <w:rsid w:val="00EF0192"/>
    <w:rsid w:val="00EF02E5"/>
    <w:rsid w:val="00EF0510"/>
    <w:rsid w:val="00EF0535"/>
    <w:rsid w:val="00EF101B"/>
    <w:rsid w:val="00EF13A6"/>
    <w:rsid w:val="00EF1530"/>
    <w:rsid w:val="00EF1D5C"/>
    <w:rsid w:val="00EF2503"/>
    <w:rsid w:val="00EF3160"/>
    <w:rsid w:val="00EF3732"/>
    <w:rsid w:val="00EF37E7"/>
    <w:rsid w:val="00EF399A"/>
    <w:rsid w:val="00EF3C3B"/>
    <w:rsid w:val="00EF3E54"/>
    <w:rsid w:val="00EF43AA"/>
    <w:rsid w:val="00EF4508"/>
    <w:rsid w:val="00EF5155"/>
    <w:rsid w:val="00EF5800"/>
    <w:rsid w:val="00EF580A"/>
    <w:rsid w:val="00EF5D93"/>
    <w:rsid w:val="00EF61C5"/>
    <w:rsid w:val="00EF661D"/>
    <w:rsid w:val="00EF6974"/>
    <w:rsid w:val="00EF6CEB"/>
    <w:rsid w:val="00EF72B3"/>
    <w:rsid w:val="00EF7809"/>
    <w:rsid w:val="00EF7D76"/>
    <w:rsid w:val="00F00548"/>
    <w:rsid w:val="00F0073F"/>
    <w:rsid w:val="00F017DF"/>
    <w:rsid w:val="00F01F10"/>
    <w:rsid w:val="00F02111"/>
    <w:rsid w:val="00F0214D"/>
    <w:rsid w:val="00F0252F"/>
    <w:rsid w:val="00F026A6"/>
    <w:rsid w:val="00F02A1C"/>
    <w:rsid w:val="00F02C21"/>
    <w:rsid w:val="00F0343C"/>
    <w:rsid w:val="00F036C5"/>
    <w:rsid w:val="00F041CE"/>
    <w:rsid w:val="00F04262"/>
    <w:rsid w:val="00F04663"/>
    <w:rsid w:val="00F046C9"/>
    <w:rsid w:val="00F047B3"/>
    <w:rsid w:val="00F04C04"/>
    <w:rsid w:val="00F050A6"/>
    <w:rsid w:val="00F053FE"/>
    <w:rsid w:val="00F056F4"/>
    <w:rsid w:val="00F05A44"/>
    <w:rsid w:val="00F05C95"/>
    <w:rsid w:val="00F05CEB"/>
    <w:rsid w:val="00F05D5D"/>
    <w:rsid w:val="00F06538"/>
    <w:rsid w:val="00F0683D"/>
    <w:rsid w:val="00F06ADE"/>
    <w:rsid w:val="00F0754E"/>
    <w:rsid w:val="00F0758E"/>
    <w:rsid w:val="00F07889"/>
    <w:rsid w:val="00F10438"/>
    <w:rsid w:val="00F11300"/>
    <w:rsid w:val="00F11B49"/>
    <w:rsid w:val="00F12983"/>
    <w:rsid w:val="00F12ACD"/>
    <w:rsid w:val="00F12D09"/>
    <w:rsid w:val="00F12F8E"/>
    <w:rsid w:val="00F13027"/>
    <w:rsid w:val="00F13389"/>
    <w:rsid w:val="00F1391F"/>
    <w:rsid w:val="00F13DAC"/>
    <w:rsid w:val="00F13E4A"/>
    <w:rsid w:val="00F14111"/>
    <w:rsid w:val="00F141C6"/>
    <w:rsid w:val="00F146B3"/>
    <w:rsid w:val="00F1538F"/>
    <w:rsid w:val="00F15D6E"/>
    <w:rsid w:val="00F15FAC"/>
    <w:rsid w:val="00F16548"/>
    <w:rsid w:val="00F168D5"/>
    <w:rsid w:val="00F16A65"/>
    <w:rsid w:val="00F16F21"/>
    <w:rsid w:val="00F17400"/>
    <w:rsid w:val="00F17405"/>
    <w:rsid w:val="00F17E34"/>
    <w:rsid w:val="00F17EAD"/>
    <w:rsid w:val="00F17FF5"/>
    <w:rsid w:val="00F2017C"/>
    <w:rsid w:val="00F2073E"/>
    <w:rsid w:val="00F20768"/>
    <w:rsid w:val="00F209E0"/>
    <w:rsid w:val="00F20F7E"/>
    <w:rsid w:val="00F21405"/>
    <w:rsid w:val="00F219B6"/>
    <w:rsid w:val="00F21B0F"/>
    <w:rsid w:val="00F22343"/>
    <w:rsid w:val="00F2261C"/>
    <w:rsid w:val="00F23086"/>
    <w:rsid w:val="00F237D2"/>
    <w:rsid w:val="00F24B07"/>
    <w:rsid w:val="00F2597C"/>
    <w:rsid w:val="00F25BF4"/>
    <w:rsid w:val="00F25F38"/>
    <w:rsid w:val="00F26493"/>
    <w:rsid w:val="00F26C1F"/>
    <w:rsid w:val="00F26E8C"/>
    <w:rsid w:val="00F27185"/>
    <w:rsid w:val="00F2742D"/>
    <w:rsid w:val="00F27A3A"/>
    <w:rsid w:val="00F3048D"/>
    <w:rsid w:val="00F305FE"/>
    <w:rsid w:val="00F30684"/>
    <w:rsid w:val="00F30ED7"/>
    <w:rsid w:val="00F31029"/>
    <w:rsid w:val="00F310B4"/>
    <w:rsid w:val="00F310C4"/>
    <w:rsid w:val="00F315BD"/>
    <w:rsid w:val="00F31B5A"/>
    <w:rsid w:val="00F32595"/>
    <w:rsid w:val="00F325A4"/>
    <w:rsid w:val="00F32632"/>
    <w:rsid w:val="00F32781"/>
    <w:rsid w:val="00F32892"/>
    <w:rsid w:val="00F32A3C"/>
    <w:rsid w:val="00F332CF"/>
    <w:rsid w:val="00F334D9"/>
    <w:rsid w:val="00F33576"/>
    <w:rsid w:val="00F3367E"/>
    <w:rsid w:val="00F34101"/>
    <w:rsid w:val="00F3458C"/>
    <w:rsid w:val="00F345E2"/>
    <w:rsid w:val="00F34A5C"/>
    <w:rsid w:val="00F34B66"/>
    <w:rsid w:val="00F35759"/>
    <w:rsid w:val="00F35A58"/>
    <w:rsid w:val="00F35C3E"/>
    <w:rsid w:val="00F35CB5"/>
    <w:rsid w:val="00F35DD7"/>
    <w:rsid w:val="00F36181"/>
    <w:rsid w:val="00F3631D"/>
    <w:rsid w:val="00F363AD"/>
    <w:rsid w:val="00F36BD6"/>
    <w:rsid w:val="00F36E73"/>
    <w:rsid w:val="00F36F99"/>
    <w:rsid w:val="00F37147"/>
    <w:rsid w:val="00F37353"/>
    <w:rsid w:val="00F37F99"/>
    <w:rsid w:val="00F37FB3"/>
    <w:rsid w:val="00F40191"/>
    <w:rsid w:val="00F404C4"/>
    <w:rsid w:val="00F40684"/>
    <w:rsid w:val="00F4072C"/>
    <w:rsid w:val="00F40AEC"/>
    <w:rsid w:val="00F40B1A"/>
    <w:rsid w:val="00F414F1"/>
    <w:rsid w:val="00F41987"/>
    <w:rsid w:val="00F41FFA"/>
    <w:rsid w:val="00F4209A"/>
    <w:rsid w:val="00F424E0"/>
    <w:rsid w:val="00F42C2D"/>
    <w:rsid w:val="00F42E94"/>
    <w:rsid w:val="00F430C0"/>
    <w:rsid w:val="00F43200"/>
    <w:rsid w:val="00F43844"/>
    <w:rsid w:val="00F441BF"/>
    <w:rsid w:val="00F445A5"/>
    <w:rsid w:val="00F446CF"/>
    <w:rsid w:val="00F44C8A"/>
    <w:rsid w:val="00F44E8E"/>
    <w:rsid w:val="00F44FB7"/>
    <w:rsid w:val="00F45EE9"/>
    <w:rsid w:val="00F4645F"/>
    <w:rsid w:val="00F4690C"/>
    <w:rsid w:val="00F46AB8"/>
    <w:rsid w:val="00F46FF4"/>
    <w:rsid w:val="00F4721D"/>
    <w:rsid w:val="00F47BA2"/>
    <w:rsid w:val="00F47D11"/>
    <w:rsid w:val="00F50112"/>
    <w:rsid w:val="00F5052A"/>
    <w:rsid w:val="00F5099A"/>
    <w:rsid w:val="00F509EB"/>
    <w:rsid w:val="00F511A4"/>
    <w:rsid w:val="00F5161B"/>
    <w:rsid w:val="00F51C29"/>
    <w:rsid w:val="00F51C35"/>
    <w:rsid w:val="00F51D21"/>
    <w:rsid w:val="00F52900"/>
    <w:rsid w:val="00F52CC8"/>
    <w:rsid w:val="00F52D6F"/>
    <w:rsid w:val="00F53000"/>
    <w:rsid w:val="00F532B6"/>
    <w:rsid w:val="00F545DB"/>
    <w:rsid w:val="00F54AB4"/>
    <w:rsid w:val="00F54B84"/>
    <w:rsid w:val="00F5652A"/>
    <w:rsid w:val="00F56BF0"/>
    <w:rsid w:val="00F56DB3"/>
    <w:rsid w:val="00F56DB8"/>
    <w:rsid w:val="00F57EF8"/>
    <w:rsid w:val="00F60124"/>
    <w:rsid w:val="00F60186"/>
    <w:rsid w:val="00F601F2"/>
    <w:rsid w:val="00F6068A"/>
    <w:rsid w:val="00F60722"/>
    <w:rsid w:val="00F60B4F"/>
    <w:rsid w:val="00F60BC0"/>
    <w:rsid w:val="00F61879"/>
    <w:rsid w:val="00F61A61"/>
    <w:rsid w:val="00F62249"/>
    <w:rsid w:val="00F622D4"/>
    <w:rsid w:val="00F62780"/>
    <w:rsid w:val="00F62AC3"/>
    <w:rsid w:val="00F62BAE"/>
    <w:rsid w:val="00F632BC"/>
    <w:rsid w:val="00F63911"/>
    <w:rsid w:val="00F63B3B"/>
    <w:rsid w:val="00F64835"/>
    <w:rsid w:val="00F65116"/>
    <w:rsid w:val="00F654A9"/>
    <w:rsid w:val="00F655A8"/>
    <w:rsid w:val="00F65687"/>
    <w:rsid w:val="00F6578E"/>
    <w:rsid w:val="00F657E8"/>
    <w:rsid w:val="00F65C8B"/>
    <w:rsid w:val="00F65EA0"/>
    <w:rsid w:val="00F66066"/>
    <w:rsid w:val="00F66181"/>
    <w:rsid w:val="00F66483"/>
    <w:rsid w:val="00F66622"/>
    <w:rsid w:val="00F667B0"/>
    <w:rsid w:val="00F668B8"/>
    <w:rsid w:val="00F66ECA"/>
    <w:rsid w:val="00F6711D"/>
    <w:rsid w:val="00F67AFC"/>
    <w:rsid w:val="00F67C8B"/>
    <w:rsid w:val="00F67F16"/>
    <w:rsid w:val="00F708B7"/>
    <w:rsid w:val="00F70DB4"/>
    <w:rsid w:val="00F71A35"/>
    <w:rsid w:val="00F71B0B"/>
    <w:rsid w:val="00F72021"/>
    <w:rsid w:val="00F7217D"/>
    <w:rsid w:val="00F723BA"/>
    <w:rsid w:val="00F7251D"/>
    <w:rsid w:val="00F72629"/>
    <w:rsid w:val="00F72B0D"/>
    <w:rsid w:val="00F732A1"/>
    <w:rsid w:val="00F733E3"/>
    <w:rsid w:val="00F73BEB"/>
    <w:rsid w:val="00F742E5"/>
    <w:rsid w:val="00F74C81"/>
    <w:rsid w:val="00F7525A"/>
    <w:rsid w:val="00F75559"/>
    <w:rsid w:val="00F75747"/>
    <w:rsid w:val="00F75B28"/>
    <w:rsid w:val="00F7687B"/>
    <w:rsid w:val="00F76A68"/>
    <w:rsid w:val="00F76DC9"/>
    <w:rsid w:val="00F76E14"/>
    <w:rsid w:val="00F76E53"/>
    <w:rsid w:val="00F76E93"/>
    <w:rsid w:val="00F76E98"/>
    <w:rsid w:val="00F77239"/>
    <w:rsid w:val="00F77735"/>
    <w:rsid w:val="00F77968"/>
    <w:rsid w:val="00F77C60"/>
    <w:rsid w:val="00F77D7E"/>
    <w:rsid w:val="00F80C5C"/>
    <w:rsid w:val="00F812E4"/>
    <w:rsid w:val="00F81494"/>
    <w:rsid w:val="00F81556"/>
    <w:rsid w:val="00F816B3"/>
    <w:rsid w:val="00F81A85"/>
    <w:rsid w:val="00F825B8"/>
    <w:rsid w:val="00F82D49"/>
    <w:rsid w:val="00F82F84"/>
    <w:rsid w:val="00F834EC"/>
    <w:rsid w:val="00F83618"/>
    <w:rsid w:val="00F8386B"/>
    <w:rsid w:val="00F83BE7"/>
    <w:rsid w:val="00F83D9B"/>
    <w:rsid w:val="00F84231"/>
    <w:rsid w:val="00F84331"/>
    <w:rsid w:val="00F84732"/>
    <w:rsid w:val="00F85484"/>
    <w:rsid w:val="00F86DF7"/>
    <w:rsid w:val="00F86FC1"/>
    <w:rsid w:val="00F871A7"/>
    <w:rsid w:val="00F87428"/>
    <w:rsid w:val="00F87BF6"/>
    <w:rsid w:val="00F87DA6"/>
    <w:rsid w:val="00F9008E"/>
    <w:rsid w:val="00F9014C"/>
    <w:rsid w:val="00F90172"/>
    <w:rsid w:val="00F9054B"/>
    <w:rsid w:val="00F90931"/>
    <w:rsid w:val="00F90F17"/>
    <w:rsid w:val="00F91945"/>
    <w:rsid w:val="00F91ABE"/>
    <w:rsid w:val="00F91B95"/>
    <w:rsid w:val="00F91C29"/>
    <w:rsid w:val="00F91D9B"/>
    <w:rsid w:val="00F92095"/>
    <w:rsid w:val="00F92475"/>
    <w:rsid w:val="00F92564"/>
    <w:rsid w:val="00F92B85"/>
    <w:rsid w:val="00F92E9E"/>
    <w:rsid w:val="00F9320D"/>
    <w:rsid w:val="00F94681"/>
    <w:rsid w:val="00F948FC"/>
    <w:rsid w:val="00F94E51"/>
    <w:rsid w:val="00F9562F"/>
    <w:rsid w:val="00F95C1F"/>
    <w:rsid w:val="00F966CF"/>
    <w:rsid w:val="00F9673C"/>
    <w:rsid w:val="00F96867"/>
    <w:rsid w:val="00F969EC"/>
    <w:rsid w:val="00F97897"/>
    <w:rsid w:val="00F97E0D"/>
    <w:rsid w:val="00FA0A01"/>
    <w:rsid w:val="00FA17D0"/>
    <w:rsid w:val="00FA1A2B"/>
    <w:rsid w:val="00FA2054"/>
    <w:rsid w:val="00FA2BDD"/>
    <w:rsid w:val="00FA3397"/>
    <w:rsid w:val="00FA36A2"/>
    <w:rsid w:val="00FA36F1"/>
    <w:rsid w:val="00FA3823"/>
    <w:rsid w:val="00FA3A7F"/>
    <w:rsid w:val="00FA3CCD"/>
    <w:rsid w:val="00FA3FA8"/>
    <w:rsid w:val="00FA4574"/>
    <w:rsid w:val="00FA4614"/>
    <w:rsid w:val="00FA4A83"/>
    <w:rsid w:val="00FA4BCD"/>
    <w:rsid w:val="00FA4DEE"/>
    <w:rsid w:val="00FA548B"/>
    <w:rsid w:val="00FA5D26"/>
    <w:rsid w:val="00FA66B6"/>
    <w:rsid w:val="00FA66E8"/>
    <w:rsid w:val="00FA67F1"/>
    <w:rsid w:val="00FA6A46"/>
    <w:rsid w:val="00FA72C6"/>
    <w:rsid w:val="00FA73A9"/>
    <w:rsid w:val="00FA754B"/>
    <w:rsid w:val="00FA775E"/>
    <w:rsid w:val="00FA7DAE"/>
    <w:rsid w:val="00FA7DD1"/>
    <w:rsid w:val="00FB00AC"/>
    <w:rsid w:val="00FB0954"/>
    <w:rsid w:val="00FB09EA"/>
    <w:rsid w:val="00FB0FD2"/>
    <w:rsid w:val="00FB1915"/>
    <w:rsid w:val="00FB2270"/>
    <w:rsid w:val="00FB2520"/>
    <w:rsid w:val="00FB2E03"/>
    <w:rsid w:val="00FB334A"/>
    <w:rsid w:val="00FB365B"/>
    <w:rsid w:val="00FB37BF"/>
    <w:rsid w:val="00FB3A23"/>
    <w:rsid w:val="00FB4297"/>
    <w:rsid w:val="00FB483F"/>
    <w:rsid w:val="00FB5438"/>
    <w:rsid w:val="00FB63A1"/>
    <w:rsid w:val="00FB647E"/>
    <w:rsid w:val="00FB7132"/>
    <w:rsid w:val="00FB728B"/>
    <w:rsid w:val="00FB73A9"/>
    <w:rsid w:val="00FB74BA"/>
    <w:rsid w:val="00FB761E"/>
    <w:rsid w:val="00FC00FE"/>
    <w:rsid w:val="00FC09CC"/>
    <w:rsid w:val="00FC0D80"/>
    <w:rsid w:val="00FC1178"/>
    <w:rsid w:val="00FC1231"/>
    <w:rsid w:val="00FC131F"/>
    <w:rsid w:val="00FC18A7"/>
    <w:rsid w:val="00FC1C51"/>
    <w:rsid w:val="00FC1CD2"/>
    <w:rsid w:val="00FC1E42"/>
    <w:rsid w:val="00FC2306"/>
    <w:rsid w:val="00FC28A0"/>
    <w:rsid w:val="00FC349C"/>
    <w:rsid w:val="00FC350A"/>
    <w:rsid w:val="00FC3797"/>
    <w:rsid w:val="00FC3AE6"/>
    <w:rsid w:val="00FC3B23"/>
    <w:rsid w:val="00FC3CA1"/>
    <w:rsid w:val="00FC4522"/>
    <w:rsid w:val="00FC45D0"/>
    <w:rsid w:val="00FC46A3"/>
    <w:rsid w:val="00FC4846"/>
    <w:rsid w:val="00FC4923"/>
    <w:rsid w:val="00FC4ADD"/>
    <w:rsid w:val="00FC4ADF"/>
    <w:rsid w:val="00FC4D13"/>
    <w:rsid w:val="00FC4E38"/>
    <w:rsid w:val="00FC50B1"/>
    <w:rsid w:val="00FC5894"/>
    <w:rsid w:val="00FC5AE1"/>
    <w:rsid w:val="00FC5B8D"/>
    <w:rsid w:val="00FC5C70"/>
    <w:rsid w:val="00FC5CD6"/>
    <w:rsid w:val="00FC5CD8"/>
    <w:rsid w:val="00FC5DE3"/>
    <w:rsid w:val="00FC67E5"/>
    <w:rsid w:val="00FC6D7F"/>
    <w:rsid w:val="00FC6DD7"/>
    <w:rsid w:val="00FC6F19"/>
    <w:rsid w:val="00FC7130"/>
    <w:rsid w:val="00FC74B0"/>
    <w:rsid w:val="00FC7C29"/>
    <w:rsid w:val="00FD0127"/>
    <w:rsid w:val="00FD0173"/>
    <w:rsid w:val="00FD0234"/>
    <w:rsid w:val="00FD02FD"/>
    <w:rsid w:val="00FD0A2D"/>
    <w:rsid w:val="00FD0E84"/>
    <w:rsid w:val="00FD120E"/>
    <w:rsid w:val="00FD2033"/>
    <w:rsid w:val="00FD28F8"/>
    <w:rsid w:val="00FD404F"/>
    <w:rsid w:val="00FD43A9"/>
    <w:rsid w:val="00FD4B80"/>
    <w:rsid w:val="00FD4C1F"/>
    <w:rsid w:val="00FD5308"/>
    <w:rsid w:val="00FD54C7"/>
    <w:rsid w:val="00FD5996"/>
    <w:rsid w:val="00FD5C43"/>
    <w:rsid w:val="00FD5D3F"/>
    <w:rsid w:val="00FD66C4"/>
    <w:rsid w:val="00FD6C71"/>
    <w:rsid w:val="00FD706C"/>
    <w:rsid w:val="00FD711C"/>
    <w:rsid w:val="00FD72D3"/>
    <w:rsid w:val="00FD771D"/>
    <w:rsid w:val="00FD775D"/>
    <w:rsid w:val="00FD7918"/>
    <w:rsid w:val="00FD7B10"/>
    <w:rsid w:val="00FD7CE6"/>
    <w:rsid w:val="00FD7E07"/>
    <w:rsid w:val="00FD7ED1"/>
    <w:rsid w:val="00FD7F3F"/>
    <w:rsid w:val="00FE172D"/>
    <w:rsid w:val="00FE2260"/>
    <w:rsid w:val="00FE2B41"/>
    <w:rsid w:val="00FE2B66"/>
    <w:rsid w:val="00FE305B"/>
    <w:rsid w:val="00FE3377"/>
    <w:rsid w:val="00FE36B4"/>
    <w:rsid w:val="00FE3C9D"/>
    <w:rsid w:val="00FE3F64"/>
    <w:rsid w:val="00FE4D9F"/>
    <w:rsid w:val="00FE4F0D"/>
    <w:rsid w:val="00FE5B16"/>
    <w:rsid w:val="00FE607B"/>
    <w:rsid w:val="00FE6182"/>
    <w:rsid w:val="00FE6991"/>
    <w:rsid w:val="00FE7255"/>
    <w:rsid w:val="00FE7711"/>
    <w:rsid w:val="00FE7864"/>
    <w:rsid w:val="00FE7A48"/>
    <w:rsid w:val="00FF0050"/>
    <w:rsid w:val="00FF0086"/>
    <w:rsid w:val="00FF0736"/>
    <w:rsid w:val="00FF09C9"/>
    <w:rsid w:val="00FF0DED"/>
    <w:rsid w:val="00FF0F38"/>
    <w:rsid w:val="00FF1030"/>
    <w:rsid w:val="00FF11EE"/>
    <w:rsid w:val="00FF1FAB"/>
    <w:rsid w:val="00FF2133"/>
    <w:rsid w:val="00FF23C2"/>
    <w:rsid w:val="00FF295D"/>
    <w:rsid w:val="00FF2A63"/>
    <w:rsid w:val="00FF2B68"/>
    <w:rsid w:val="00FF2C26"/>
    <w:rsid w:val="00FF2D4E"/>
    <w:rsid w:val="00FF3348"/>
    <w:rsid w:val="00FF38D4"/>
    <w:rsid w:val="00FF3946"/>
    <w:rsid w:val="00FF3DE6"/>
    <w:rsid w:val="00FF4CB7"/>
    <w:rsid w:val="00FF4E7E"/>
    <w:rsid w:val="00FF5CEE"/>
    <w:rsid w:val="00FF62D7"/>
    <w:rsid w:val="00FF6948"/>
    <w:rsid w:val="00FF6D7B"/>
    <w:rsid w:val="00FF6ED2"/>
    <w:rsid w:val="00FF718C"/>
    <w:rsid w:val="00FF73E5"/>
    <w:rsid w:val="00FF77DC"/>
    <w:rsid w:val="00FF7C13"/>
    <w:rsid w:val="00FF7CAE"/>
    <w:rsid w:val="011E1FE4"/>
    <w:rsid w:val="01514167"/>
    <w:rsid w:val="016320EC"/>
    <w:rsid w:val="016B1141"/>
    <w:rsid w:val="017B569D"/>
    <w:rsid w:val="01D00C17"/>
    <w:rsid w:val="01EC0334"/>
    <w:rsid w:val="01F35441"/>
    <w:rsid w:val="02810A7C"/>
    <w:rsid w:val="02891497"/>
    <w:rsid w:val="028C7DB9"/>
    <w:rsid w:val="02C24C83"/>
    <w:rsid w:val="02FE6C09"/>
    <w:rsid w:val="031F591B"/>
    <w:rsid w:val="038E134E"/>
    <w:rsid w:val="03EE3FF4"/>
    <w:rsid w:val="03F04E05"/>
    <w:rsid w:val="042070BD"/>
    <w:rsid w:val="04276E78"/>
    <w:rsid w:val="04A55C57"/>
    <w:rsid w:val="04B15D38"/>
    <w:rsid w:val="04E640B3"/>
    <w:rsid w:val="05393890"/>
    <w:rsid w:val="05551D4C"/>
    <w:rsid w:val="05B46130"/>
    <w:rsid w:val="05D34212"/>
    <w:rsid w:val="05E476D5"/>
    <w:rsid w:val="065A02D2"/>
    <w:rsid w:val="066178E8"/>
    <w:rsid w:val="06DE2BBE"/>
    <w:rsid w:val="070A0E58"/>
    <w:rsid w:val="070E2C73"/>
    <w:rsid w:val="07420103"/>
    <w:rsid w:val="078E0B6F"/>
    <w:rsid w:val="07A1540E"/>
    <w:rsid w:val="07B62F76"/>
    <w:rsid w:val="088712AC"/>
    <w:rsid w:val="088C5640"/>
    <w:rsid w:val="08942FFD"/>
    <w:rsid w:val="08C97E04"/>
    <w:rsid w:val="09277251"/>
    <w:rsid w:val="093305F6"/>
    <w:rsid w:val="0933123C"/>
    <w:rsid w:val="09612F13"/>
    <w:rsid w:val="09897726"/>
    <w:rsid w:val="0A2C39C3"/>
    <w:rsid w:val="0A793B4D"/>
    <w:rsid w:val="0AD11ECB"/>
    <w:rsid w:val="0AFA6591"/>
    <w:rsid w:val="0AFC15E8"/>
    <w:rsid w:val="0B0C31E6"/>
    <w:rsid w:val="0B672D35"/>
    <w:rsid w:val="0B717C77"/>
    <w:rsid w:val="0B7218AA"/>
    <w:rsid w:val="0B8E0C37"/>
    <w:rsid w:val="0B997E74"/>
    <w:rsid w:val="0BDE1B69"/>
    <w:rsid w:val="0BE348D1"/>
    <w:rsid w:val="0C1436B0"/>
    <w:rsid w:val="0C6F0DFE"/>
    <w:rsid w:val="0CAD68F9"/>
    <w:rsid w:val="0D132F2F"/>
    <w:rsid w:val="0D1624C5"/>
    <w:rsid w:val="0D396755"/>
    <w:rsid w:val="0D3F3A0E"/>
    <w:rsid w:val="0D612203"/>
    <w:rsid w:val="0D6949DD"/>
    <w:rsid w:val="0D841421"/>
    <w:rsid w:val="0D847672"/>
    <w:rsid w:val="0D9D6AF5"/>
    <w:rsid w:val="0DAD4881"/>
    <w:rsid w:val="0DCD028F"/>
    <w:rsid w:val="0E316849"/>
    <w:rsid w:val="0E855775"/>
    <w:rsid w:val="0E9E6512"/>
    <w:rsid w:val="0EB811D7"/>
    <w:rsid w:val="0F046A49"/>
    <w:rsid w:val="0F345661"/>
    <w:rsid w:val="0F43106C"/>
    <w:rsid w:val="0F6A6D2B"/>
    <w:rsid w:val="0FC85D62"/>
    <w:rsid w:val="10673F78"/>
    <w:rsid w:val="10947BCD"/>
    <w:rsid w:val="10984392"/>
    <w:rsid w:val="10AD5132"/>
    <w:rsid w:val="10C009C2"/>
    <w:rsid w:val="10D66437"/>
    <w:rsid w:val="10F36B9B"/>
    <w:rsid w:val="11370240"/>
    <w:rsid w:val="11563F38"/>
    <w:rsid w:val="1157668D"/>
    <w:rsid w:val="11931CCD"/>
    <w:rsid w:val="11A45B20"/>
    <w:rsid w:val="12073BB1"/>
    <w:rsid w:val="1282606E"/>
    <w:rsid w:val="12E12E71"/>
    <w:rsid w:val="12E37A40"/>
    <w:rsid w:val="12E5305F"/>
    <w:rsid w:val="13137DEE"/>
    <w:rsid w:val="13483AB2"/>
    <w:rsid w:val="134C6571"/>
    <w:rsid w:val="136410CA"/>
    <w:rsid w:val="13766074"/>
    <w:rsid w:val="13824654"/>
    <w:rsid w:val="13AC5423"/>
    <w:rsid w:val="13CB11D5"/>
    <w:rsid w:val="13E630AD"/>
    <w:rsid w:val="13FF37F9"/>
    <w:rsid w:val="14036E93"/>
    <w:rsid w:val="140923FC"/>
    <w:rsid w:val="141476FE"/>
    <w:rsid w:val="14407171"/>
    <w:rsid w:val="1450033B"/>
    <w:rsid w:val="148218FE"/>
    <w:rsid w:val="14BD4042"/>
    <w:rsid w:val="14F670A8"/>
    <w:rsid w:val="14FC21E4"/>
    <w:rsid w:val="158A5A42"/>
    <w:rsid w:val="15E04D1D"/>
    <w:rsid w:val="162B5694"/>
    <w:rsid w:val="16502B86"/>
    <w:rsid w:val="169C219E"/>
    <w:rsid w:val="169F72CB"/>
    <w:rsid w:val="16B11A9E"/>
    <w:rsid w:val="170535D2"/>
    <w:rsid w:val="173A7902"/>
    <w:rsid w:val="17446A38"/>
    <w:rsid w:val="17494FB8"/>
    <w:rsid w:val="174C3A48"/>
    <w:rsid w:val="17555F1F"/>
    <w:rsid w:val="1756506A"/>
    <w:rsid w:val="176B459A"/>
    <w:rsid w:val="178349DE"/>
    <w:rsid w:val="17D345EA"/>
    <w:rsid w:val="18474B5B"/>
    <w:rsid w:val="184C1051"/>
    <w:rsid w:val="185D743E"/>
    <w:rsid w:val="1876442F"/>
    <w:rsid w:val="187D73BE"/>
    <w:rsid w:val="189746FE"/>
    <w:rsid w:val="189C7F66"/>
    <w:rsid w:val="18D21BDA"/>
    <w:rsid w:val="18EC5490"/>
    <w:rsid w:val="193C52A5"/>
    <w:rsid w:val="19A05834"/>
    <w:rsid w:val="19E01C28"/>
    <w:rsid w:val="19E7558B"/>
    <w:rsid w:val="19F4540E"/>
    <w:rsid w:val="1A195F32"/>
    <w:rsid w:val="1A2434B7"/>
    <w:rsid w:val="1A2574DE"/>
    <w:rsid w:val="1A2D768C"/>
    <w:rsid w:val="1A331F2E"/>
    <w:rsid w:val="1A413668"/>
    <w:rsid w:val="1A753EF5"/>
    <w:rsid w:val="1A8C4A7F"/>
    <w:rsid w:val="1AD72371"/>
    <w:rsid w:val="1AE016FF"/>
    <w:rsid w:val="1AE84433"/>
    <w:rsid w:val="1B117086"/>
    <w:rsid w:val="1B1D6CDD"/>
    <w:rsid w:val="1B5250FA"/>
    <w:rsid w:val="1B5A0F25"/>
    <w:rsid w:val="1B711E75"/>
    <w:rsid w:val="1B7606B6"/>
    <w:rsid w:val="1BC06AAD"/>
    <w:rsid w:val="1BFE4A94"/>
    <w:rsid w:val="1C2558E4"/>
    <w:rsid w:val="1C534B92"/>
    <w:rsid w:val="1C5A43C0"/>
    <w:rsid w:val="1C6E53AF"/>
    <w:rsid w:val="1C7C30D0"/>
    <w:rsid w:val="1C94741D"/>
    <w:rsid w:val="1CA5284C"/>
    <w:rsid w:val="1CDF258C"/>
    <w:rsid w:val="1CE32817"/>
    <w:rsid w:val="1D105D78"/>
    <w:rsid w:val="1D4961E3"/>
    <w:rsid w:val="1D4B3234"/>
    <w:rsid w:val="1DBE7F60"/>
    <w:rsid w:val="1E336622"/>
    <w:rsid w:val="1E451260"/>
    <w:rsid w:val="1E7D4396"/>
    <w:rsid w:val="1E8F40C9"/>
    <w:rsid w:val="1E997DFD"/>
    <w:rsid w:val="1EE91306"/>
    <w:rsid w:val="1EF83A1C"/>
    <w:rsid w:val="1F14362A"/>
    <w:rsid w:val="1F1C1BA1"/>
    <w:rsid w:val="1F2B20F5"/>
    <w:rsid w:val="1F99187C"/>
    <w:rsid w:val="1FC6411D"/>
    <w:rsid w:val="20034F04"/>
    <w:rsid w:val="201A79C2"/>
    <w:rsid w:val="202B6A28"/>
    <w:rsid w:val="203F3E8A"/>
    <w:rsid w:val="20586099"/>
    <w:rsid w:val="206C6470"/>
    <w:rsid w:val="209F6AE1"/>
    <w:rsid w:val="20BB2F53"/>
    <w:rsid w:val="20BC3E69"/>
    <w:rsid w:val="20E40064"/>
    <w:rsid w:val="20EA4BBF"/>
    <w:rsid w:val="211C6896"/>
    <w:rsid w:val="21C101AB"/>
    <w:rsid w:val="21EC14EC"/>
    <w:rsid w:val="227B6E3E"/>
    <w:rsid w:val="22C60F74"/>
    <w:rsid w:val="22EF5136"/>
    <w:rsid w:val="23103A2A"/>
    <w:rsid w:val="23831780"/>
    <w:rsid w:val="23911B46"/>
    <w:rsid w:val="24226165"/>
    <w:rsid w:val="24303C58"/>
    <w:rsid w:val="249B0281"/>
    <w:rsid w:val="249C4E4A"/>
    <w:rsid w:val="250639AE"/>
    <w:rsid w:val="25535E50"/>
    <w:rsid w:val="25551BC9"/>
    <w:rsid w:val="257A4A42"/>
    <w:rsid w:val="25861D82"/>
    <w:rsid w:val="25A93F7B"/>
    <w:rsid w:val="25D560AC"/>
    <w:rsid w:val="25E5693B"/>
    <w:rsid w:val="26186752"/>
    <w:rsid w:val="262A28CC"/>
    <w:rsid w:val="263A0DBE"/>
    <w:rsid w:val="26480FF3"/>
    <w:rsid w:val="26A30712"/>
    <w:rsid w:val="26B45420"/>
    <w:rsid w:val="26BD2C8E"/>
    <w:rsid w:val="26BE379D"/>
    <w:rsid w:val="26E87267"/>
    <w:rsid w:val="2702581E"/>
    <w:rsid w:val="27041118"/>
    <w:rsid w:val="27055925"/>
    <w:rsid w:val="27070F1A"/>
    <w:rsid w:val="27227D47"/>
    <w:rsid w:val="27287CFF"/>
    <w:rsid w:val="2788674F"/>
    <w:rsid w:val="28001963"/>
    <w:rsid w:val="281F6A72"/>
    <w:rsid w:val="285E6FE6"/>
    <w:rsid w:val="29020B19"/>
    <w:rsid w:val="2976645A"/>
    <w:rsid w:val="2984482A"/>
    <w:rsid w:val="29A66B9A"/>
    <w:rsid w:val="29A720CD"/>
    <w:rsid w:val="2A350D92"/>
    <w:rsid w:val="2A4F3B41"/>
    <w:rsid w:val="2A550235"/>
    <w:rsid w:val="2A70204F"/>
    <w:rsid w:val="2A9F19FC"/>
    <w:rsid w:val="2AAD15A9"/>
    <w:rsid w:val="2AC375D4"/>
    <w:rsid w:val="2AEF4F5A"/>
    <w:rsid w:val="2AEF5D4B"/>
    <w:rsid w:val="2AF330B4"/>
    <w:rsid w:val="2AFE68AB"/>
    <w:rsid w:val="2B083239"/>
    <w:rsid w:val="2B090BEB"/>
    <w:rsid w:val="2B4A185A"/>
    <w:rsid w:val="2B585F6F"/>
    <w:rsid w:val="2B66465E"/>
    <w:rsid w:val="2B823D99"/>
    <w:rsid w:val="2B972D64"/>
    <w:rsid w:val="2BC674EA"/>
    <w:rsid w:val="2BDF571B"/>
    <w:rsid w:val="2BFF2BDC"/>
    <w:rsid w:val="2C66499B"/>
    <w:rsid w:val="2C6B17C7"/>
    <w:rsid w:val="2C9A4365"/>
    <w:rsid w:val="2CD92D9C"/>
    <w:rsid w:val="2CDD5415"/>
    <w:rsid w:val="2CE630EC"/>
    <w:rsid w:val="2CE70EA1"/>
    <w:rsid w:val="2D1A515E"/>
    <w:rsid w:val="2D372EFD"/>
    <w:rsid w:val="2D3E3F20"/>
    <w:rsid w:val="2D5A281C"/>
    <w:rsid w:val="2D6A7911"/>
    <w:rsid w:val="2D6C7214"/>
    <w:rsid w:val="2D7E77E3"/>
    <w:rsid w:val="2D800AEF"/>
    <w:rsid w:val="2D822BC7"/>
    <w:rsid w:val="2DC51C5C"/>
    <w:rsid w:val="2DC72F38"/>
    <w:rsid w:val="2DD37B2E"/>
    <w:rsid w:val="2E224612"/>
    <w:rsid w:val="2E595A03"/>
    <w:rsid w:val="2EC658E5"/>
    <w:rsid w:val="2ED1273B"/>
    <w:rsid w:val="2EFC1307"/>
    <w:rsid w:val="2F083A6E"/>
    <w:rsid w:val="2F324D29"/>
    <w:rsid w:val="2F560FEF"/>
    <w:rsid w:val="2FCB4960"/>
    <w:rsid w:val="301D7111"/>
    <w:rsid w:val="303C6B27"/>
    <w:rsid w:val="307351D1"/>
    <w:rsid w:val="309D684C"/>
    <w:rsid w:val="30DF2B31"/>
    <w:rsid w:val="30F37BAE"/>
    <w:rsid w:val="31234F7C"/>
    <w:rsid w:val="314A5517"/>
    <w:rsid w:val="3166141B"/>
    <w:rsid w:val="31666F0B"/>
    <w:rsid w:val="318907EB"/>
    <w:rsid w:val="319155BB"/>
    <w:rsid w:val="31F369F1"/>
    <w:rsid w:val="322A755F"/>
    <w:rsid w:val="32A911CA"/>
    <w:rsid w:val="32AC4DF2"/>
    <w:rsid w:val="32B214E9"/>
    <w:rsid w:val="32B54787"/>
    <w:rsid w:val="32BF7918"/>
    <w:rsid w:val="33131370"/>
    <w:rsid w:val="33154745"/>
    <w:rsid w:val="33164701"/>
    <w:rsid w:val="331C6D99"/>
    <w:rsid w:val="333806C8"/>
    <w:rsid w:val="333A2A4D"/>
    <w:rsid w:val="336320B7"/>
    <w:rsid w:val="33A230C4"/>
    <w:rsid w:val="33AB32FB"/>
    <w:rsid w:val="33B56721"/>
    <w:rsid w:val="3411308D"/>
    <w:rsid w:val="34341275"/>
    <w:rsid w:val="343E0404"/>
    <w:rsid w:val="34931DC5"/>
    <w:rsid w:val="34A418E0"/>
    <w:rsid w:val="34B14942"/>
    <w:rsid w:val="34C208FD"/>
    <w:rsid w:val="351464FB"/>
    <w:rsid w:val="35175227"/>
    <w:rsid w:val="35690265"/>
    <w:rsid w:val="357D65D2"/>
    <w:rsid w:val="359E4EC6"/>
    <w:rsid w:val="35B471A5"/>
    <w:rsid w:val="3602347F"/>
    <w:rsid w:val="36100DEE"/>
    <w:rsid w:val="361E5257"/>
    <w:rsid w:val="363D3CC6"/>
    <w:rsid w:val="3667350A"/>
    <w:rsid w:val="368F0547"/>
    <w:rsid w:val="36A41CFC"/>
    <w:rsid w:val="36D9605E"/>
    <w:rsid w:val="36EA7C97"/>
    <w:rsid w:val="36F310B9"/>
    <w:rsid w:val="36F9612C"/>
    <w:rsid w:val="37046FAB"/>
    <w:rsid w:val="37117919"/>
    <w:rsid w:val="37756A0B"/>
    <w:rsid w:val="37C567A9"/>
    <w:rsid w:val="38455ACD"/>
    <w:rsid w:val="38885F1A"/>
    <w:rsid w:val="38AC352F"/>
    <w:rsid w:val="38BB221B"/>
    <w:rsid w:val="38D2453D"/>
    <w:rsid w:val="38DB335F"/>
    <w:rsid w:val="3911775D"/>
    <w:rsid w:val="39485924"/>
    <w:rsid w:val="397A36DF"/>
    <w:rsid w:val="398E0B08"/>
    <w:rsid w:val="39AD7A53"/>
    <w:rsid w:val="39C47491"/>
    <w:rsid w:val="39DC6477"/>
    <w:rsid w:val="39E76710"/>
    <w:rsid w:val="3A414402"/>
    <w:rsid w:val="3A443B62"/>
    <w:rsid w:val="3A453EA3"/>
    <w:rsid w:val="3A4F418E"/>
    <w:rsid w:val="3A580875"/>
    <w:rsid w:val="3A6F5087"/>
    <w:rsid w:val="3A773FED"/>
    <w:rsid w:val="3AB47FE2"/>
    <w:rsid w:val="3AC61EE1"/>
    <w:rsid w:val="3AED2303"/>
    <w:rsid w:val="3B141786"/>
    <w:rsid w:val="3B287684"/>
    <w:rsid w:val="3B4D3692"/>
    <w:rsid w:val="3B5A6261"/>
    <w:rsid w:val="3BB52F69"/>
    <w:rsid w:val="3BF05D4F"/>
    <w:rsid w:val="3C185036"/>
    <w:rsid w:val="3C52053D"/>
    <w:rsid w:val="3C8D3C33"/>
    <w:rsid w:val="3C94716C"/>
    <w:rsid w:val="3CEC2A7C"/>
    <w:rsid w:val="3D031376"/>
    <w:rsid w:val="3D071314"/>
    <w:rsid w:val="3D0D3662"/>
    <w:rsid w:val="3D32776C"/>
    <w:rsid w:val="3D4C7D7E"/>
    <w:rsid w:val="3D5936D9"/>
    <w:rsid w:val="3D794651"/>
    <w:rsid w:val="3D8C6D07"/>
    <w:rsid w:val="3D8E5820"/>
    <w:rsid w:val="3D947997"/>
    <w:rsid w:val="3DC84FD3"/>
    <w:rsid w:val="3DD86A9B"/>
    <w:rsid w:val="3DEB3106"/>
    <w:rsid w:val="3E0E4BB3"/>
    <w:rsid w:val="3E0F1B94"/>
    <w:rsid w:val="3E503BEF"/>
    <w:rsid w:val="3E5C5C9A"/>
    <w:rsid w:val="3E86299B"/>
    <w:rsid w:val="3EA82911"/>
    <w:rsid w:val="3EAF1EF2"/>
    <w:rsid w:val="3EE73471"/>
    <w:rsid w:val="3F037057"/>
    <w:rsid w:val="3F0E5202"/>
    <w:rsid w:val="3F171D6A"/>
    <w:rsid w:val="3F1E0E25"/>
    <w:rsid w:val="3F3B7314"/>
    <w:rsid w:val="3F5E5375"/>
    <w:rsid w:val="3F747EAA"/>
    <w:rsid w:val="3F7D5B4C"/>
    <w:rsid w:val="3F920F86"/>
    <w:rsid w:val="3FC30FF0"/>
    <w:rsid w:val="3FDF64CC"/>
    <w:rsid w:val="3FFF2A05"/>
    <w:rsid w:val="40491932"/>
    <w:rsid w:val="40516596"/>
    <w:rsid w:val="408A2036"/>
    <w:rsid w:val="40BA06B3"/>
    <w:rsid w:val="40BE58C5"/>
    <w:rsid w:val="40C15F0C"/>
    <w:rsid w:val="40EB7283"/>
    <w:rsid w:val="40F04D7E"/>
    <w:rsid w:val="40F620C0"/>
    <w:rsid w:val="412C782A"/>
    <w:rsid w:val="41317BA0"/>
    <w:rsid w:val="41351797"/>
    <w:rsid w:val="414D20AB"/>
    <w:rsid w:val="418B7BD5"/>
    <w:rsid w:val="418F295E"/>
    <w:rsid w:val="41AA2BE3"/>
    <w:rsid w:val="41C70178"/>
    <w:rsid w:val="41F14991"/>
    <w:rsid w:val="41FD7189"/>
    <w:rsid w:val="42322EC9"/>
    <w:rsid w:val="425012F6"/>
    <w:rsid w:val="42671E75"/>
    <w:rsid w:val="42AC04F6"/>
    <w:rsid w:val="42B0545A"/>
    <w:rsid w:val="42D967D5"/>
    <w:rsid w:val="42FC322C"/>
    <w:rsid w:val="430B40D6"/>
    <w:rsid w:val="43227739"/>
    <w:rsid w:val="43320184"/>
    <w:rsid w:val="437849F9"/>
    <w:rsid w:val="43810DF8"/>
    <w:rsid w:val="438E7BDA"/>
    <w:rsid w:val="43E548CD"/>
    <w:rsid w:val="440D6621"/>
    <w:rsid w:val="444A6219"/>
    <w:rsid w:val="447A64B0"/>
    <w:rsid w:val="44A357B0"/>
    <w:rsid w:val="44B97171"/>
    <w:rsid w:val="44C22253"/>
    <w:rsid w:val="44CF0F69"/>
    <w:rsid w:val="44EA6E61"/>
    <w:rsid w:val="451A3F70"/>
    <w:rsid w:val="4530459E"/>
    <w:rsid w:val="455E1F7C"/>
    <w:rsid w:val="455F620C"/>
    <w:rsid w:val="45685681"/>
    <w:rsid w:val="45E06E35"/>
    <w:rsid w:val="460E01A7"/>
    <w:rsid w:val="46507D44"/>
    <w:rsid w:val="467C68B4"/>
    <w:rsid w:val="46872F21"/>
    <w:rsid w:val="472A3C46"/>
    <w:rsid w:val="47305B9A"/>
    <w:rsid w:val="47514506"/>
    <w:rsid w:val="4751654D"/>
    <w:rsid w:val="476B4B41"/>
    <w:rsid w:val="47816245"/>
    <w:rsid w:val="4798679B"/>
    <w:rsid w:val="47A3636C"/>
    <w:rsid w:val="47E260CF"/>
    <w:rsid w:val="47E51C29"/>
    <w:rsid w:val="47E82329"/>
    <w:rsid w:val="47E856B4"/>
    <w:rsid w:val="4811792D"/>
    <w:rsid w:val="481674BF"/>
    <w:rsid w:val="48274AEC"/>
    <w:rsid w:val="4855629B"/>
    <w:rsid w:val="4861104C"/>
    <w:rsid w:val="48662F81"/>
    <w:rsid w:val="486763D9"/>
    <w:rsid w:val="4873054D"/>
    <w:rsid w:val="48B07B2D"/>
    <w:rsid w:val="48B87BF5"/>
    <w:rsid w:val="48F87B32"/>
    <w:rsid w:val="48FD1AAC"/>
    <w:rsid w:val="490E45F2"/>
    <w:rsid w:val="493A7700"/>
    <w:rsid w:val="493E1722"/>
    <w:rsid w:val="4946228A"/>
    <w:rsid w:val="494D274E"/>
    <w:rsid w:val="49592085"/>
    <w:rsid w:val="4981750C"/>
    <w:rsid w:val="498B0CE0"/>
    <w:rsid w:val="49F56FCC"/>
    <w:rsid w:val="49F928D0"/>
    <w:rsid w:val="4A1B2797"/>
    <w:rsid w:val="4A820975"/>
    <w:rsid w:val="4A82565F"/>
    <w:rsid w:val="4AB80380"/>
    <w:rsid w:val="4AC90137"/>
    <w:rsid w:val="4B46598C"/>
    <w:rsid w:val="4B502367"/>
    <w:rsid w:val="4B582F60"/>
    <w:rsid w:val="4B61467A"/>
    <w:rsid w:val="4B647A4D"/>
    <w:rsid w:val="4B6F3060"/>
    <w:rsid w:val="4B8E66EF"/>
    <w:rsid w:val="4BCD333B"/>
    <w:rsid w:val="4BCF0AEE"/>
    <w:rsid w:val="4BDE5DF3"/>
    <w:rsid w:val="4BF669E4"/>
    <w:rsid w:val="4BFB2CF6"/>
    <w:rsid w:val="4BFE3487"/>
    <w:rsid w:val="4C0142C3"/>
    <w:rsid w:val="4C2D206A"/>
    <w:rsid w:val="4C4C1F46"/>
    <w:rsid w:val="4C5E75AD"/>
    <w:rsid w:val="4C79769B"/>
    <w:rsid w:val="4CCE4EBD"/>
    <w:rsid w:val="4CF3466E"/>
    <w:rsid w:val="4D245B8C"/>
    <w:rsid w:val="4D2E34E0"/>
    <w:rsid w:val="4D5D0D6B"/>
    <w:rsid w:val="4D6432FC"/>
    <w:rsid w:val="4D935D2E"/>
    <w:rsid w:val="4DC572DA"/>
    <w:rsid w:val="4DE14866"/>
    <w:rsid w:val="4E421C97"/>
    <w:rsid w:val="4E533344"/>
    <w:rsid w:val="4E593C28"/>
    <w:rsid w:val="4E5F6D26"/>
    <w:rsid w:val="4EA43A9F"/>
    <w:rsid w:val="4F4A348F"/>
    <w:rsid w:val="4F644633"/>
    <w:rsid w:val="4F701229"/>
    <w:rsid w:val="4F89605B"/>
    <w:rsid w:val="4F917EAC"/>
    <w:rsid w:val="4FCE5F50"/>
    <w:rsid w:val="4FF37764"/>
    <w:rsid w:val="504A76D7"/>
    <w:rsid w:val="50BA41B1"/>
    <w:rsid w:val="50F809EE"/>
    <w:rsid w:val="51082DDE"/>
    <w:rsid w:val="51254C81"/>
    <w:rsid w:val="517B0774"/>
    <w:rsid w:val="51B11329"/>
    <w:rsid w:val="51B45CB8"/>
    <w:rsid w:val="51EB2DE9"/>
    <w:rsid w:val="51F411FA"/>
    <w:rsid w:val="526C77D7"/>
    <w:rsid w:val="5274193A"/>
    <w:rsid w:val="52A35AC9"/>
    <w:rsid w:val="52FE4F0B"/>
    <w:rsid w:val="53045C41"/>
    <w:rsid w:val="53322219"/>
    <w:rsid w:val="534469AF"/>
    <w:rsid w:val="535813CD"/>
    <w:rsid w:val="535A657B"/>
    <w:rsid w:val="536B2998"/>
    <w:rsid w:val="537B5903"/>
    <w:rsid w:val="53FD2CD0"/>
    <w:rsid w:val="54272508"/>
    <w:rsid w:val="545A24A8"/>
    <w:rsid w:val="5472334E"/>
    <w:rsid w:val="5473040A"/>
    <w:rsid w:val="549D1EB0"/>
    <w:rsid w:val="54C73F50"/>
    <w:rsid w:val="54F6385F"/>
    <w:rsid w:val="550B3C00"/>
    <w:rsid w:val="55284354"/>
    <w:rsid w:val="55545149"/>
    <w:rsid w:val="55667986"/>
    <w:rsid w:val="557C1FAA"/>
    <w:rsid w:val="559B37B2"/>
    <w:rsid w:val="559D01B3"/>
    <w:rsid w:val="55E36D0B"/>
    <w:rsid w:val="56066326"/>
    <w:rsid w:val="56D94B4D"/>
    <w:rsid w:val="571701DC"/>
    <w:rsid w:val="571F78F3"/>
    <w:rsid w:val="57235785"/>
    <w:rsid w:val="573F0BFC"/>
    <w:rsid w:val="575E3F1C"/>
    <w:rsid w:val="57A75A04"/>
    <w:rsid w:val="57AE28EC"/>
    <w:rsid w:val="57ED1903"/>
    <w:rsid w:val="5811311C"/>
    <w:rsid w:val="58124DC3"/>
    <w:rsid w:val="584A60C0"/>
    <w:rsid w:val="589659CA"/>
    <w:rsid w:val="58BC54DF"/>
    <w:rsid w:val="58BF398F"/>
    <w:rsid w:val="58D755F9"/>
    <w:rsid w:val="58D8399B"/>
    <w:rsid w:val="58DE262B"/>
    <w:rsid w:val="58E95BA9"/>
    <w:rsid w:val="592572CA"/>
    <w:rsid w:val="59E27F9F"/>
    <w:rsid w:val="5A5A1E61"/>
    <w:rsid w:val="5AD9687D"/>
    <w:rsid w:val="5AE6005A"/>
    <w:rsid w:val="5AF34ABD"/>
    <w:rsid w:val="5B411E5D"/>
    <w:rsid w:val="5B4D241F"/>
    <w:rsid w:val="5BAD7361"/>
    <w:rsid w:val="5BAE3EB0"/>
    <w:rsid w:val="5C07441B"/>
    <w:rsid w:val="5C0D07BD"/>
    <w:rsid w:val="5C2D2AB6"/>
    <w:rsid w:val="5C4D4D14"/>
    <w:rsid w:val="5C5263DE"/>
    <w:rsid w:val="5C6F397E"/>
    <w:rsid w:val="5CA24E74"/>
    <w:rsid w:val="5CD610AC"/>
    <w:rsid w:val="5CE83E90"/>
    <w:rsid w:val="5CF500A6"/>
    <w:rsid w:val="5CF87558"/>
    <w:rsid w:val="5D317E0F"/>
    <w:rsid w:val="5D4D49D6"/>
    <w:rsid w:val="5DC74DE1"/>
    <w:rsid w:val="5DFD7A64"/>
    <w:rsid w:val="5E103825"/>
    <w:rsid w:val="5E1C664B"/>
    <w:rsid w:val="5E215E49"/>
    <w:rsid w:val="5E3E6161"/>
    <w:rsid w:val="5E624433"/>
    <w:rsid w:val="5E723019"/>
    <w:rsid w:val="5EAB06A5"/>
    <w:rsid w:val="5EB36A3D"/>
    <w:rsid w:val="5ED846F5"/>
    <w:rsid w:val="5EDB5F93"/>
    <w:rsid w:val="5F117629"/>
    <w:rsid w:val="5F381638"/>
    <w:rsid w:val="5F730868"/>
    <w:rsid w:val="5F9F4716"/>
    <w:rsid w:val="5FC9626D"/>
    <w:rsid w:val="5FE054BC"/>
    <w:rsid w:val="60014ABB"/>
    <w:rsid w:val="60050DD3"/>
    <w:rsid w:val="603C5ED5"/>
    <w:rsid w:val="606C5570"/>
    <w:rsid w:val="609D0AC8"/>
    <w:rsid w:val="60A77EDE"/>
    <w:rsid w:val="60BF5531"/>
    <w:rsid w:val="60D240A2"/>
    <w:rsid w:val="60E81B5D"/>
    <w:rsid w:val="60EB7288"/>
    <w:rsid w:val="611759A9"/>
    <w:rsid w:val="61187A15"/>
    <w:rsid w:val="611F660B"/>
    <w:rsid w:val="6126799A"/>
    <w:rsid w:val="613655DF"/>
    <w:rsid w:val="613F7C8B"/>
    <w:rsid w:val="6149320C"/>
    <w:rsid w:val="61554358"/>
    <w:rsid w:val="61A61FBB"/>
    <w:rsid w:val="62593D94"/>
    <w:rsid w:val="627B024C"/>
    <w:rsid w:val="62D977F1"/>
    <w:rsid w:val="638220DD"/>
    <w:rsid w:val="63AB62C9"/>
    <w:rsid w:val="63BF6533"/>
    <w:rsid w:val="63F90E6D"/>
    <w:rsid w:val="63FF170A"/>
    <w:rsid w:val="64104931"/>
    <w:rsid w:val="643C66ED"/>
    <w:rsid w:val="64486E34"/>
    <w:rsid w:val="646A4041"/>
    <w:rsid w:val="64750162"/>
    <w:rsid w:val="65000E96"/>
    <w:rsid w:val="650F148F"/>
    <w:rsid w:val="651B358E"/>
    <w:rsid w:val="655D3412"/>
    <w:rsid w:val="6593344F"/>
    <w:rsid w:val="66121A75"/>
    <w:rsid w:val="66377F53"/>
    <w:rsid w:val="6640491C"/>
    <w:rsid w:val="66BB2251"/>
    <w:rsid w:val="66D435C2"/>
    <w:rsid w:val="67416D32"/>
    <w:rsid w:val="67713939"/>
    <w:rsid w:val="67A21D44"/>
    <w:rsid w:val="67A905C7"/>
    <w:rsid w:val="67B977EF"/>
    <w:rsid w:val="6802374F"/>
    <w:rsid w:val="682A5BE0"/>
    <w:rsid w:val="683B7444"/>
    <w:rsid w:val="683F1510"/>
    <w:rsid w:val="68430416"/>
    <w:rsid w:val="685E7D4C"/>
    <w:rsid w:val="688370CD"/>
    <w:rsid w:val="68AB2F07"/>
    <w:rsid w:val="68EE415B"/>
    <w:rsid w:val="69406A59"/>
    <w:rsid w:val="694C01BA"/>
    <w:rsid w:val="695D23C7"/>
    <w:rsid w:val="69747710"/>
    <w:rsid w:val="69A825EB"/>
    <w:rsid w:val="69A94F6A"/>
    <w:rsid w:val="69D02B99"/>
    <w:rsid w:val="69EE301F"/>
    <w:rsid w:val="69EF3A68"/>
    <w:rsid w:val="6A37337F"/>
    <w:rsid w:val="6A793230"/>
    <w:rsid w:val="6AAC0A2E"/>
    <w:rsid w:val="6AFD7FF7"/>
    <w:rsid w:val="6B310A25"/>
    <w:rsid w:val="6B331C8F"/>
    <w:rsid w:val="6B4D10E3"/>
    <w:rsid w:val="6B8F059E"/>
    <w:rsid w:val="6B9B0F84"/>
    <w:rsid w:val="6BC75D6A"/>
    <w:rsid w:val="6C480851"/>
    <w:rsid w:val="6C81461E"/>
    <w:rsid w:val="6CA860B5"/>
    <w:rsid w:val="6CAD5413"/>
    <w:rsid w:val="6CD504C6"/>
    <w:rsid w:val="6CD96208"/>
    <w:rsid w:val="6CF46964"/>
    <w:rsid w:val="6D0668D1"/>
    <w:rsid w:val="6D0C10F7"/>
    <w:rsid w:val="6D1C4347"/>
    <w:rsid w:val="6D4D4498"/>
    <w:rsid w:val="6D57537F"/>
    <w:rsid w:val="6D875C64"/>
    <w:rsid w:val="6DB516A0"/>
    <w:rsid w:val="6DDE27D0"/>
    <w:rsid w:val="6E111C91"/>
    <w:rsid w:val="6E2540E6"/>
    <w:rsid w:val="6E3C1431"/>
    <w:rsid w:val="6E5D0773"/>
    <w:rsid w:val="6E623FC4"/>
    <w:rsid w:val="6F427072"/>
    <w:rsid w:val="6F700E2B"/>
    <w:rsid w:val="6FDD2296"/>
    <w:rsid w:val="6FFA7FF3"/>
    <w:rsid w:val="70311EB7"/>
    <w:rsid w:val="704950EA"/>
    <w:rsid w:val="708C4FA8"/>
    <w:rsid w:val="70B646B2"/>
    <w:rsid w:val="70BD1320"/>
    <w:rsid w:val="70D86148"/>
    <w:rsid w:val="70FA12BF"/>
    <w:rsid w:val="713E0C19"/>
    <w:rsid w:val="71950A52"/>
    <w:rsid w:val="719D2FA2"/>
    <w:rsid w:val="719E1196"/>
    <w:rsid w:val="71A80522"/>
    <w:rsid w:val="71A81EEF"/>
    <w:rsid w:val="71AF5789"/>
    <w:rsid w:val="71CA07BD"/>
    <w:rsid w:val="71EF08C0"/>
    <w:rsid w:val="72175EC4"/>
    <w:rsid w:val="72347A3D"/>
    <w:rsid w:val="723A02DE"/>
    <w:rsid w:val="726614CA"/>
    <w:rsid w:val="72713BD9"/>
    <w:rsid w:val="72A76788"/>
    <w:rsid w:val="72B10E82"/>
    <w:rsid w:val="72B8066E"/>
    <w:rsid w:val="72C64313"/>
    <w:rsid w:val="72CB3CAC"/>
    <w:rsid w:val="72D1172F"/>
    <w:rsid w:val="72ED586B"/>
    <w:rsid w:val="73017BC9"/>
    <w:rsid w:val="73181CD0"/>
    <w:rsid w:val="732B4CDC"/>
    <w:rsid w:val="732F462C"/>
    <w:rsid w:val="73426B2A"/>
    <w:rsid w:val="735F7F9D"/>
    <w:rsid w:val="737934A2"/>
    <w:rsid w:val="73A97FA1"/>
    <w:rsid w:val="741746C9"/>
    <w:rsid w:val="745148D6"/>
    <w:rsid w:val="74620243"/>
    <w:rsid w:val="7475039B"/>
    <w:rsid w:val="748C4020"/>
    <w:rsid w:val="74A7099A"/>
    <w:rsid w:val="74C436A5"/>
    <w:rsid w:val="75033AEB"/>
    <w:rsid w:val="751A3C71"/>
    <w:rsid w:val="752F7328"/>
    <w:rsid w:val="754D4A0B"/>
    <w:rsid w:val="75517434"/>
    <w:rsid w:val="757A05B0"/>
    <w:rsid w:val="757C7F8A"/>
    <w:rsid w:val="758D759A"/>
    <w:rsid w:val="75BD20E1"/>
    <w:rsid w:val="769679F2"/>
    <w:rsid w:val="774A04E8"/>
    <w:rsid w:val="77587608"/>
    <w:rsid w:val="7780195B"/>
    <w:rsid w:val="778B6844"/>
    <w:rsid w:val="77D21664"/>
    <w:rsid w:val="77D5581E"/>
    <w:rsid w:val="786F74DC"/>
    <w:rsid w:val="78AF409C"/>
    <w:rsid w:val="78B35B5F"/>
    <w:rsid w:val="78E1125F"/>
    <w:rsid w:val="79024315"/>
    <w:rsid w:val="792979DA"/>
    <w:rsid w:val="793A2870"/>
    <w:rsid w:val="793D76F7"/>
    <w:rsid w:val="79464E14"/>
    <w:rsid w:val="7952184F"/>
    <w:rsid w:val="796450AB"/>
    <w:rsid w:val="79854CEA"/>
    <w:rsid w:val="79B3354A"/>
    <w:rsid w:val="79F26992"/>
    <w:rsid w:val="7A0E5D19"/>
    <w:rsid w:val="7A313795"/>
    <w:rsid w:val="7AED2DCE"/>
    <w:rsid w:val="7B13112B"/>
    <w:rsid w:val="7B22638A"/>
    <w:rsid w:val="7B4316EB"/>
    <w:rsid w:val="7B577F9B"/>
    <w:rsid w:val="7B5A49B8"/>
    <w:rsid w:val="7B8466C6"/>
    <w:rsid w:val="7B9826D1"/>
    <w:rsid w:val="7B9A22FE"/>
    <w:rsid w:val="7BD6383B"/>
    <w:rsid w:val="7BFA7623"/>
    <w:rsid w:val="7BFC6A34"/>
    <w:rsid w:val="7C8576F5"/>
    <w:rsid w:val="7CAC1950"/>
    <w:rsid w:val="7D0776CA"/>
    <w:rsid w:val="7D2D2BED"/>
    <w:rsid w:val="7D341239"/>
    <w:rsid w:val="7D364FB1"/>
    <w:rsid w:val="7D62280B"/>
    <w:rsid w:val="7D8F060E"/>
    <w:rsid w:val="7DA42CC5"/>
    <w:rsid w:val="7DB341A2"/>
    <w:rsid w:val="7DD81CFC"/>
    <w:rsid w:val="7DE051B4"/>
    <w:rsid w:val="7DE44A0D"/>
    <w:rsid w:val="7E3D2E66"/>
    <w:rsid w:val="7E8B30DA"/>
    <w:rsid w:val="7E927F10"/>
    <w:rsid w:val="7EBA6561"/>
    <w:rsid w:val="7ED71E0F"/>
    <w:rsid w:val="7ED76320"/>
    <w:rsid w:val="7F0D36AB"/>
    <w:rsid w:val="7F2968FC"/>
    <w:rsid w:val="7F4339B5"/>
    <w:rsid w:val="7F4A2C46"/>
    <w:rsid w:val="7F9B33F2"/>
    <w:rsid w:val="7F9F08AF"/>
    <w:rsid w:val="7FED79CB"/>
    <w:rsid w:val="7FF151BF"/>
    <w:rsid w:val="7FF269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94"/>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link w:val="95"/>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4">
    <w:name w:val="heading 3"/>
    <w:basedOn w:val="1"/>
    <w:next w:val="1"/>
    <w:link w:val="96"/>
    <w:qFormat/>
    <w:uiPriority w:val="99"/>
    <w:pPr>
      <w:keepNext/>
      <w:keepLines/>
      <w:widowControl w:val="0"/>
      <w:spacing w:before="260" w:after="260" w:line="415" w:lineRule="auto"/>
      <w:jc w:val="both"/>
      <w:outlineLvl w:val="2"/>
    </w:pPr>
    <w:rPr>
      <w:rFonts w:cs="Times New Roman"/>
      <w:b/>
      <w:bCs/>
      <w:sz w:val="32"/>
      <w:szCs w:val="32"/>
    </w:rPr>
  </w:style>
  <w:style w:type="paragraph" w:styleId="5">
    <w:name w:val="heading 4"/>
    <w:basedOn w:val="1"/>
    <w:next w:val="1"/>
    <w:link w:val="97"/>
    <w:autoRedefine/>
    <w:qFormat/>
    <w:uiPriority w:val="99"/>
    <w:pPr>
      <w:keepNext/>
      <w:keepLines/>
      <w:widowControl w:val="0"/>
      <w:spacing w:before="280" w:after="290" w:line="374" w:lineRule="auto"/>
      <w:jc w:val="both"/>
      <w:outlineLvl w:val="3"/>
    </w:pPr>
    <w:rPr>
      <w:rFonts w:ascii="Arial" w:hAnsi="Arial" w:eastAsia="黑体" w:cs="Times New Roman"/>
      <w:b/>
      <w:bCs/>
      <w:sz w:val="28"/>
      <w:szCs w:val="28"/>
    </w:rPr>
  </w:style>
  <w:style w:type="paragraph" w:styleId="6">
    <w:name w:val="heading 5"/>
    <w:basedOn w:val="1"/>
    <w:next w:val="1"/>
    <w:link w:val="98"/>
    <w:qFormat/>
    <w:uiPriority w:val="99"/>
    <w:pPr>
      <w:keepNext/>
      <w:keepLines/>
      <w:widowControl w:val="0"/>
      <w:spacing w:before="280" w:after="290" w:line="372" w:lineRule="auto"/>
      <w:jc w:val="both"/>
      <w:outlineLvl w:val="4"/>
    </w:pPr>
    <w:rPr>
      <w:rFonts w:ascii="Times New Roman" w:hAnsi="Times New Roman" w:cs="Times New Roman"/>
      <w:b/>
      <w:sz w:val="28"/>
      <w:szCs w:val="20"/>
    </w:rPr>
  </w:style>
  <w:style w:type="paragraph" w:styleId="7">
    <w:name w:val="heading 6"/>
    <w:basedOn w:val="1"/>
    <w:next w:val="1"/>
    <w:link w:val="99"/>
    <w:autoRedefine/>
    <w:qFormat/>
    <w:uiPriority w:val="99"/>
    <w:pPr>
      <w:keepNext/>
      <w:keepLines/>
      <w:tabs>
        <w:tab w:val="left" w:pos="1440"/>
      </w:tabs>
      <w:spacing w:before="240" w:after="64" w:line="319" w:lineRule="auto"/>
      <w:ind w:left="1152" w:hanging="1152"/>
      <w:outlineLvl w:val="5"/>
    </w:pPr>
    <w:rPr>
      <w:rFonts w:ascii="Arial" w:hAnsi="Arial" w:eastAsia="黑体" w:cs="Times New Roman"/>
      <w:b/>
      <w:bCs/>
    </w:rPr>
  </w:style>
  <w:style w:type="paragraph" w:styleId="8">
    <w:name w:val="heading 7"/>
    <w:basedOn w:val="1"/>
    <w:next w:val="1"/>
    <w:link w:val="100"/>
    <w:qFormat/>
    <w:uiPriority w:val="99"/>
    <w:pPr>
      <w:keepNext/>
      <w:keepLines/>
      <w:tabs>
        <w:tab w:val="left" w:pos="2520"/>
      </w:tabs>
      <w:spacing w:before="240" w:after="64" w:line="319" w:lineRule="auto"/>
      <w:ind w:left="1296" w:hanging="1296"/>
      <w:outlineLvl w:val="6"/>
    </w:pPr>
    <w:rPr>
      <w:rFonts w:ascii="Times New Roman" w:hAnsi="Times New Roman" w:cs="Times New Roman"/>
      <w:b/>
      <w:bCs/>
    </w:rPr>
  </w:style>
  <w:style w:type="paragraph" w:styleId="9">
    <w:name w:val="heading 8"/>
    <w:basedOn w:val="1"/>
    <w:next w:val="1"/>
    <w:link w:val="101"/>
    <w:autoRedefine/>
    <w:qFormat/>
    <w:uiPriority w:val="99"/>
    <w:pPr>
      <w:keepNext/>
      <w:keepLines/>
      <w:tabs>
        <w:tab w:val="left" w:pos="1440"/>
      </w:tabs>
      <w:spacing w:before="240" w:after="64" w:line="319" w:lineRule="auto"/>
      <w:ind w:left="1440" w:hanging="1440"/>
      <w:outlineLvl w:val="7"/>
    </w:pPr>
    <w:rPr>
      <w:rFonts w:ascii="Arial" w:hAnsi="Arial" w:eastAsia="黑体" w:cs="Times New Roman"/>
    </w:rPr>
  </w:style>
  <w:style w:type="paragraph" w:styleId="10">
    <w:name w:val="heading 9"/>
    <w:basedOn w:val="1"/>
    <w:next w:val="1"/>
    <w:link w:val="102"/>
    <w:qFormat/>
    <w:uiPriority w:val="99"/>
    <w:pPr>
      <w:keepNext/>
      <w:keepLines/>
      <w:tabs>
        <w:tab w:val="left" w:pos="1584"/>
      </w:tabs>
      <w:spacing w:before="240" w:after="64" w:line="319" w:lineRule="auto"/>
      <w:ind w:left="1584" w:hanging="1584"/>
      <w:outlineLvl w:val="8"/>
    </w:pPr>
    <w:rPr>
      <w:rFonts w:ascii="Arial" w:hAnsi="Arial" w:eastAsia="黑体" w:cs="Times New Roman"/>
      <w:sz w:val="20"/>
      <w:szCs w:val="21"/>
    </w:rPr>
  </w:style>
  <w:style w:type="character" w:default="1" w:styleId="48">
    <w:name w:val="Default Paragraph Font"/>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widowControl w:val="0"/>
      <w:ind w:left="2520" w:leftChars="1200"/>
      <w:jc w:val="both"/>
    </w:pPr>
    <w:rPr>
      <w:rFonts w:ascii="Calibri" w:hAnsi="Calibri" w:cs="Times New Roman"/>
      <w:kern w:val="2"/>
      <w:sz w:val="21"/>
      <w:szCs w:val="22"/>
    </w:rPr>
  </w:style>
  <w:style w:type="paragraph" w:styleId="12">
    <w:name w:val="Normal Indent"/>
    <w:basedOn w:val="1"/>
    <w:link w:val="103"/>
    <w:autoRedefine/>
    <w:qFormat/>
    <w:uiPriority w:val="99"/>
    <w:pPr>
      <w:widowControl w:val="0"/>
      <w:ind w:firstLine="420" w:firstLineChars="200"/>
      <w:jc w:val="both"/>
    </w:pPr>
    <w:rPr>
      <w:rFonts w:cs="Times New Roman"/>
      <w:szCs w:val="20"/>
    </w:rPr>
  </w:style>
  <w:style w:type="paragraph" w:styleId="13">
    <w:name w:val="caption"/>
    <w:basedOn w:val="1"/>
    <w:next w:val="1"/>
    <w:autoRedefine/>
    <w:qFormat/>
    <w:uiPriority w:val="99"/>
    <w:pPr>
      <w:widowControl w:val="0"/>
      <w:jc w:val="both"/>
    </w:pPr>
    <w:rPr>
      <w:rFonts w:ascii="Cambria" w:hAnsi="Cambria" w:eastAsia="黑体" w:cs="Times New Roman"/>
      <w:kern w:val="2"/>
      <w:sz w:val="20"/>
      <w:szCs w:val="20"/>
    </w:rPr>
  </w:style>
  <w:style w:type="paragraph" w:styleId="14">
    <w:name w:val="Document Map"/>
    <w:basedOn w:val="1"/>
    <w:link w:val="104"/>
    <w:autoRedefine/>
    <w:qFormat/>
    <w:uiPriority w:val="99"/>
    <w:pPr>
      <w:widowControl w:val="0"/>
      <w:shd w:val="clear" w:color="auto" w:fill="000080"/>
      <w:jc w:val="both"/>
    </w:pPr>
    <w:rPr>
      <w:rFonts w:ascii="Times New Roman" w:hAnsi="Times New Roman" w:cs="Times New Roman"/>
    </w:rPr>
  </w:style>
  <w:style w:type="paragraph" w:styleId="15">
    <w:name w:val="annotation text"/>
    <w:basedOn w:val="1"/>
    <w:link w:val="105"/>
    <w:autoRedefine/>
    <w:qFormat/>
    <w:uiPriority w:val="99"/>
    <w:pPr>
      <w:widowControl w:val="0"/>
    </w:pPr>
    <w:rPr>
      <w:rFonts w:ascii="Calibri" w:hAnsi="Calibri" w:cs="Times New Roman"/>
    </w:rPr>
  </w:style>
  <w:style w:type="paragraph" w:styleId="16">
    <w:name w:val="Salutation"/>
    <w:basedOn w:val="1"/>
    <w:next w:val="1"/>
    <w:link w:val="106"/>
    <w:autoRedefine/>
    <w:qFormat/>
    <w:uiPriority w:val="99"/>
    <w:pPr>
      <w:widowControl w:val="0"/>
      <w:jc w:val="both"/>
    </w:pPr>
    <w:rPr>
      <w:rFonts w:ascii="Times New Roman" w:hAnsi="Times New Roman" w:cs="Times New Roman"/>
      <w:sz w:val="28"/>
    </w:rPr>
  </w:style>
  <w:style w:type="paragraph" w:styleId="17">
    <w:name w:val="Body Text 3"/>
    <w:basedOn w:val="1"/>
    <w:link w:val="107"/>
    <w:autoRedefine/>
    <w:qFormat/>
    <w:uiPriority w:val="99"/>
    <w:pPr>
      <w:widowControl w:val="0"/>
      <w:jc w:val="both"/>
    </w:pPr>
    <w:rPr>
      <w:rFonts w:hAnsi="Times New Roman" w:cs="Times New Roman"/>
      <w:sz w:val="20"/>
      <w:szCs w:val="20"/>
    </w:rPr>
  </w:style>
  <w:style w:type="paragraph" w:styleId="18">
    <w:name w:val="Body Text"/>
    <w:basedOn w:val="1"/>
    <w:link w:val="108"/>
    <w:autoRedefine/>
    <w:qFormat/>
    <w:uiPriority w:val="99"/>
    <w:pPr>
      <w:widowControl w:val="0"/>
      <w:spacing w:after="120"/>
      <w:jc w:val="both"/>
    </w:pPr>
    <w:rPr>
      <w:rFonts w:ascii="Times New Roman" w:hAnsi="Times New Roman" w:cs="Times New Roman"/>
    </w:rPr>
  </w:style>
  <w:style w:type="paragraph" w:styleId="19">
    <w:name w:val="Body Text Indent"/>
    <w:basedOn w:val="1"/>
    <w:link w:val="92"/>
    <w:autoRedefine/>
    <w:qFormat/>
    <w:uiPriority w:val="99"/>
    <w:pPr>
      <w:widowControl w:val="0"/>
      <w:spacing w:after="120"/>
      <w:ind w:left="420" w:leftChars="200"/>
      <w:jc w:val="both"/>
    </w:pPr>
    <w:rPr>
      <w:rFonts w:ascii="Times New Roman" w:hAnsi="Times New Roman" w:cs="Times New Roman"/>
    </w:rPr>
  </w:style>
  <w:style w:type="paragraph" w:styleId="20">
    <w:name w:val="List 2"/>
    <w:basedOn w:val="1"/>
    <w:autoRedefine/>
    <w:qFormat/>
    <w:uiPriority w:val="99"/>
    <w:pPr>
      <w:widowControl w:val="0"/>
      <w:ind w:left="100" w:leftChars="200" w:hanging="200" w:hangingChars="200"/>
      <w:jc w:val="both"/>
    </w:pPr>
    <w:rPr>
      <w:rFonts w:ascii="Times New Roman" w:hAnsi="Times New Roman" w:cs="Times New Roman"/>
      <w:kern w:val="2"/>
      <w:sz w:val="21"/>
    </w:rPr>
  </w:style>
  <w:style w:type="paragraph" w:styleId="21">
    <w:name w:val="index 4"/>
    <w:basedOn w:val="1"/>
    <w:next w:val="1"/>
    <w:autoRedefine/>
    <w:qFormat/>
    <w:uiPriority w:val="99"/>
    <w:pPr>
      <w:widowControl w:val="0"/>
      <w:ind w:left="600" w:leftChars="600"/>
      <w:jc w:val="both"/>
    </w:pPr>
    <w:rPr>
      <w:rFonts w:ascii="Times New Roman" w:hAnsi="Times New Roman" w:cs="Times New Roman"/>
      <w:kern w:val="2"/>
      <w:sz w:val="21"/>
    </w:rPr>
  </w:style>
  <w:style w:type="paragraph" w:styleId="22">
    <w:name w:val="toc 5"/>
    <w:basedOn w:val="1"/>
    <w:next w:val="1"/>
    <w:autoRedefine/>
    <w:qFormat/>
    <w:uiPriority w:val="99"/>
    <w:pPr>
      <w:widowControl w:val="0"/>
      <w:ind w:left="1680" w:leftChars="800"/>
      <w:jc w:val="both"/>
    </w:pPr>
    <w:rPr>
      <w:rFonts w:ascii="Times New Roman" w:hAnsi="Times New Roman" w:cs="Times New Roman"/>
      <w:kern w:val="2"/>
      <w:sz w:val="21"/>
      <w:szCs w:val="20"/>
    </w:rPr>
  </w:style>
  <w:style w:type="paragraph" w:styleId="23">
    <w:name w:val="toc 3"/>
    <w:basedOn w:val="1"/>
    <w:next w:val="1"/>
    <w:autoRedefine/>
    <w:qFormat/>
    <w:uiPriority w:val="99"/>
    <w:pPr>
      <w:widowControl w:val="0"/>
      <w:ind w:left="840" w:leftChars="400"/>
      <w:jc w:val="both"/>
    </w:pPr>
    <w:rPr>
      <w:rFonts w:ascii="Times New Roman" w:hAnsi="Times New Roman" w:cs="Times New Roman"/>
      <w:kern w:val="2"/>
      <w:sz w:val="21"/>
      <w:szCs w:val="20"/>
    </w:rPr>
  </w:style>
  <w:style w:type="paragraph" w:styleId="24">
    <w:name w:val="Plain Text"/>
    <w:basedOn w:val="1"/>
    <w:link w:val="109"/>
    <w:autoRedefine/>
    <w:qFormat/>
    <w:uiPriority w:val="99"/>
    <w:pPr>
      <w:widowControl w:val="0"/>
      <w:jc w:val="both"/>
    </w:pPr>
    <w:rPr>
      <w:rFonts w:hAnsi="Courier New" w:cs="Times New Roman"/>
      <w:sz w:val="20"/>
      <w:szCs w:val="20"/>
    </w:rPr>
  </w:style>
  <w:style w:type="paragraph" w:styleId="25">
    <w:name w:val="toc 8"/>
    <w:basedOn w:val="1"/>
    <w:next w:val="1"/>
    <w:autoRedefine/>
    <w:qFormat/>
    <w:uiPriority w:val="99"/>
    <w:pPr>
      <w:widowControl w:val="0"/>
      <w:ind w:left="2940" w:leftChars="1400"/>
      <w:jc w:val="both"/>
    </w:pPr>
    <w:rPr>
      <w:rFonts w:ascii="Calibri" w:hAnsi="Calibri" w:cs="Times New Roman"/>
      <w:kern w:val="2"/>
      <w:sz w:val="21"/>
      <w:szCs w:val="22"/>
    </w:rPr>
  </w:style>
  <w:style w:type="paragraph" w:styleId="26">
    <w:name w:val="Date"/>
    <w:basedOn w:val="1"/>
    <w:next w:val="1"/>
    <w:link w:val="110"/>
    <w:autoRedefine/>
    <w:qFormat/>
    <w:uiPriority w:val="99"/>
    <w:pPr>
      <w:widowControl w:val="0"/>
      <w:ind w:left="100" w:leftChars="2500"/>
      <w:jc w:val="both"/>
    </w:pPr>
    <w:rPr>
      <w:rFonts w:ascii="Times New Roman" w:hAnsi="Times New Roman" w:cs="Times New Roman"/>
    </w:rPr>
  </w:style>
  <w:style w:type="paragraph" w:styleId="27">
    <w:name w:val="Body Text Indent 2"/>
    <w:basedOn w:val="1"/>
    <w:link w:val="111"/>
    <w:autoRedefine/>
    <w:qFormat/>
    <w:uiPriority w:val="99"/>
    <w:pPr>
      <w:widowControl w:val="0"/>
      <w:spacing w:after="120" w:line="480" w:lineRule="auto"/>
      <w:ind w:left="420" w:leftChars="200"/>
      <w:jc w:val="both"/>
    </w:pPr>
    <w:rPr>
      <w:rFonts w:ascii="Times New Roman" w:hAnsi="Times New Roman" w:cs="Times New Roman"/>
    </w:rPr>
  </w:style>
  <w:style w:type="paragraph" w:styleId="28">
    <w:name w:val="Balloon Text"/>
    <w:basedOn w:val="1"/>
    <w:link w:val="112"/>
    <w:autoRedefine/>
    <w:qFormat/>
    <w:uiPriority w:val="99"/>
    <w:pPr>
      <w:widowControl w:val="0"/>
      <w:jc w:val="both"/>
    </w:pPr>
    <w:rPr>
      <w:rFonts w:ascii="Calibri" w:hAnsi="Calibri" w:cs="Times New Roman"/>
      <w:sz w:val="18"/>
      <w:szCs w:val="18"/>
    </w:rPr>
  </w:style>
  <w:style w:type="paragraph" w:styleId="29">
    <w:name w:val="footer"/>
    <w:basedOn w:val="1"/>
    <w:link w:val="113"/>
    <w:autoRedefine/>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30">
    <w:name w:val="header"/>
    <w:basedOn w:val="1"/>
    <w:link w:val="1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31">
    <w:name w:val="toc 1"/>
    <w:basedOn w:val="1"/>
    <w:next w:val="1"/>
    <w:autoRedefine/>
    <w:qFormat/>
    <w:uiPriority w:val="99"/>
    <w:pPr>
      <w:widowControl w:val="0"/>
      <w:tabs>
        <w:tab w:val="right" w:leader="dot" w:pos="8296"/>
      </w:tabs>
      <w:spacing w:line="440" w:lineRule="exact"/>
      <w:jc w:val="both"/>
    </w:pPr>
    <w:rPr>
      <w:rFonts w:ascii="Times New Roman" w:hAnsi="Times New Roman" w:cs="Times New Roman"/>
      <w:kern w:val="2"/>
      <w:sz w:val="21"/>
      <w:szCs w:val="20"/>
    </w:rPr>
  </w:style>
  <w:style w:type="paragraph" w:styleId="32">
    <w:name w:val="toc 4"/>
    <w:basedOn w:val="1"/>
    <w:next w:val="1"/>
    <w:autoRedefine/>
    <w:qFormat/>
    <w:uiPriority w:val="9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33">
    <w:name w:val="Subtitle"/>
    <w:basedOn w:val="1"/>
    <w:next w:val="1"/>
    <w:link w:val="115"/>
    <w:autoRedefine/>
    <w:qFormat/>
    <w:uiPriority w:val="99"/>
    <w:pPr>
      <w:widowControl w:val="0"/>
      <w:spacing w:before="240" w:after="60" w:line="312" w:lineRule="auto"/>
      <w:jc w:val="center"/>
      <w:outlineLvl w:val="1"/>
    </w:pPr>
    <w:rPr>
      <w:rFonts w:ascii="Cambria" w:hAnsi="Cambria" w:cs="Times New Roman"/>
      <w:b/>
      <w:bCs/>
      <w:kern w:val="28"/>
      <w:sz w:val="32"/>
      <w:szCs w:val="32"/>
    </w:rPr>
  </w:style>
  <w:style w:type="paragraph" w:styleId="34">
    <w:name w:val="footnote text"/>
    <w:basedOn w:val="1"/>
    <w:link w:val="116"/>
    <w:autoRedefine/>
    <w:qFormat/>
    <w:uiPriority w:val="99"/>
    <w:pPr>
      <w:widowControl w:val="0"/>
      <w:jc w:val="both"/>
    </w:pPr>
    <w:rPr>
      <w:rFonts w:ascii="Times New Roman" w:hAnsi="Times New Roman" w:cs="Times New Roman"/>
      <w:sz w:val="20"/>
      <w:szCs w:val="20"/>
    </w:rPr>
  </w:style>
  <w:style w:type="paragraph" w:styleId="35">
    <w:name w:val="toc 6"/>
    <w:basedOn w:val="1"/>
    <w:next w:val="1"/>
    <w:autoRedefine/>
    <w:qFormat/>
    <w:uiPriority w:val="99"/>
    <w:pPr>
      <w:widowControl w:val="0"/>
      <w:ind w:left="2100" w:leftChars="1000"/>
      <w:jc w:val="both"/>
    </w:pPr>
    <w:rPr>
      <w:rFonts w:ascii="Calibri" w:hAnsi="Calibri" w:cs="Times New Roman"/>
      <w:kern w:val="2"/>
      <w:sz w:val="21"/>
      <w:szCs w:val="22"/>
    </w:rPr>
  </w:style>
  <w:style w:type="paragraph" w:styleId="36">
    <w:name w:val="Body Text Indent 3"/>
    <w:basedOn w:val="1"/>
    <w:link w:val="117"/>
    <w:autoRedefine/>
    <w:qFormat/>
    <w:uiPriority w:val="99"/>
    <w:pPr>
      <w:widowControl w:val="0"/>
      <w:spacing w:after="120"/>
      <w:ind w:left="420" w:leftChars="200"/>
      <w:jc w:val="both"/>
    </w:pPr>
    <w:rPr>
      <w:rFonts w:ascii="Times New Roman" w:hAnsi="Times New Roman" w:cs="Times New Roman"/>
      <w:sz w:val="16"/>
      <w:szCs w:val="16"/>
    </w:rPr>
  </w:style>
  <w:style w:type="paragraph" w:styleId="37">
    <w:name w:val="toc 2"/>
    <w:basedOn w:val="1"/>
    <w:next w:val="1"/>
    <w:autoRedefine/>
    <w:qFormat/>
    <w:uiPriority w:val="99"/>
    <w:pPr>
      <w:widowControl w:val="0"/>
      <w:ind w:left="420" w:leftChars="200"/>
      <w:jc w:val="both"/>
    </w:pPr>
    <w:rPr>
      <w:rFonts w:ascii="Times New Roman" w:hAnsi="Times New Roman" w:cs="Times New Roman"/>
      <w:kern w:val="2"/>
      <w:sz w:val="21"/>
      <w:szCs w:val="20"/>
    </w:rPr>
  </w:style>
  <w:style w:type="paragraph" w:styleId="38">
    <w:name w:val="toc 9"/>
    <w:basedOn w:val="1"/>
    <w:next w:val="1"/>
    <w:autoRedefine/>
    <w:qFormat/>
    <w:uiPriority w:val="99"/>
    <w:pPr>
      <w:widowControl w:val="0"/>
      <w:ind w:left="3360" w:leftChars="1600"/>
      <w:jc w:val="both"/>
    </w:pPr>
    <w:rPr>
      <w:rFonts w:ascii="Calibri" w:hAnsi="Calibri" w:cs="Times New Roman"/>
      <w:kern w:val="2"/>
      <w:sz w:val="21"/>
      <w:szCs w:val="22"/>
    </w:rPr>
  </w:style>
  <w:style w:type="paragraph" w:styleId="39">
    <w:name w:val="Body Text 2"/>
    <w:basedOn w:val="1"/>
    <w:link w:val="118"/>
    <w:autoRedefine/>
    <w:qFormat/>
    <w:uiPriority w:val="99"/>
    <w:pPr>
      <w:widowControl w:val="0"/>
    </w:pPr>
    <w:rPr>
      <w:rFonts w:hAnsi="Calibri" w:cs="Times New Roman"/>
      <w:color w:val="000000"/>
      <w:sz w:val="18"/>
      <w:szCs w:val="18"/>
    </w:rPr>
  </w:style>
  <w:style w:type="paragraph" w:styleId="40">
    <w:name w:val="List Continue 2"/>
    <w:basedOn w:val="1"/>
    <w:autoRedefine/>
    <w:qFormat/>
    <w:uiPriority w:val="99"/>
    <w:pPr>
      <w:widowControl w:val="0"/>
      <w:spacing w:after="120"/>
      <w:ind w:left="840" w:leftChars="400"/>
      <w:jc w:val="both"/>
    </w:pPr>
    <w:rPr>
      <w:rFonts w:ascii="Times New Roman" w:hAnsi="Times New Roman" w:cs="Times New Roman"/>
      <w:kern w:val="2"/>
      <w:sz w:val="21"/>
      <w:szCs w:val="20"/>
    </w:rPr>
  </w:style>
  <w:style w:type="paragraph" w:styleId="41">
    <w:name w:val="Normal (Web)"/>
    <w:basedOn w:val="1"/>
    <w:autoRedefine/>
    <w:qFormat/>
    <w:uiPriority w:val="99"/>
    <w:pPr>
      <w:spacing w:before="100" w:beforeAutospacing="1" w:after="100" w:afterAutospacing="1"/>
    </w:pPr>
  </w:style>
  <w:style w:type="paragraph" w:styleId="42">
    <w:name w:val="index 1"/>
    <w:basedOn w:val="1"/>
    <w:next w:val="1"/>
    <w:autoRedefine/>
    <w:qFormat/>
    <w:uiPriority w:val="99"/>
    <w:pPr>
      <w:widowControl w:val="0"/>
      <w:spacing w:line="220" w:lineRule="exact"/>
      <w:jc w:val="center"/>
    </w:pPr>
    <w:rPr>
      <w:rFonts w:ascii="仿宋_GB2312" w:hAnsi="Times New Roman" w:eastAsia="仿宋_GB2312" w:cs="Times New Roman"/>
      <w:kern w:val="2"/>
      <w:sz w:val="21"/>
      <w:szCs w:val="20"/>
    </w:rPr>
  </w:style>
  <w:style w:type="paragraph" w:styleId="43">
    <w:name w:val="Title"/>
    <w:basedOn w:val="1"/>
    <w:link w:val="119"/>
    <w:autoRedefine/>
    <w:qFormat/>
    <w:uiPriority w:val="99"/>
    <w:pPr>
      <w:widowControl w:val="0"/>
      <w:adjustRightInd w:val="0"/>
      <w:spacing w:before="240" w:after="60" w:line="420" w:lineRule="atLeast"/>
      <w:jc w:val="center"/>
      <w:outlineLvl w:val="0"/>
    </w:pPr>
    <w:rPr>
      <w:rFonts w:ascii="Arial" w:hAnsi="Arial" w:cs="Times New Roman"/>
      <w:b/>
      <w:sz w:val="32"/>
      <w:szCs w:val="20"/>
    </w:rPr>
  </w:style>
  <w:style w:type="paragraph" w:styleId="44">
    <w:name w:val="annotation subject"/>
    <w:basedOn w:val="15"/>
    <w:next w:val="15"/>
    <w:link w:val="120"/>
    <w:autoRedefine/>
    <w:qFormat/>
    <w:uiPriority w:val="99"/>
    <w:rPr>
      <w:b/>
      <w:bCs/>
    </w:rPr>
  </w:style>
  <w:style w:type="paragraph" w:styleId="45">
    <w:name w:val="Body Text First Indent 2"/>
    <w:basedOn w:val="19"/>
    <w:link w:val="93"/>
    <w:autoRedefine/>
    <w:qFormat/>
    <w:uiPriority w:val="99"/>
    <w:pPr>
      <w:ind w:firstLine="420" w:firstLineChars="200"/>
    </w:pPr>
  </w:style>
  <w:style w:type="table" w:styleId="47">
    <w:name w:val="Table Grid"/>
    <w:basedOn w:val="4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99"/>
    <w:rPr>
      <w:rFonts w:cs="Times New Roman"/>
      <w:b/>
    </w:rPr>
  </w:style>
  <w:style w:type="character" w:styleId="50">
    <w:name w:val="page number"/>
    <w:autoRedefine/>
    <w:qFormat/>
    <w:uiPriority w:val="0"/>
    <w:rPr>
      <w:rFonts w:cs="Times New Roman"/>
    </w:rPr>
  </w:style>
  <w:style w:type="character" w:styleId="51">
    <w:name w:val="FollowedHyperlink"/>
    <w:autoRedefine/>
    <w:qFormat/>
    <w:uiPriority w:val="99"/>
    <w:rPr>
      <w:rFonts w:cs="Times New Roman"/>
      <w:color w:val="800080"/>
      <w:u w:val="single"/>
    </w:rPr>
  </w:style>
  <w:style w:type="character" w:styleId="52">
    <w:name w:val="Emphasis"/>
    <w:basedOn w:val="48"/>
    <w:qFormat/>
    <w:uiPriority w:val="20"/>
  </w:style>
  <w:style w:type="character" w:styleId="53">
    <w:name w:val="Hyperlink"/>
    <w:autoRedefine/>
    <w:qFormat/>
    <w:uiPriority w:val="99"/>
    <w:rPr>
      <w:rFonts w:cs="Times New Roman"/>
      <w:color w:val="0000FF"/>
      <w:u w:val="single"/>
    </w:rPr>
  </w:style>
  <w:style w:type="character" w:styleId="54">
    <w:name w:val="annotation reference"/>
    <w:autoRedefine/>
    <w:qFormat/>
    <w:uiPriority w:val="99"/>
    <w:rPr>
      <w:rFonts w:cs="Times New Roman"/>
      <w:sz w:val="21"/>
      <w:szCs w:val="21"/>
    </w:rPr>
  </w:style>
  <w:style w:type="character" w:styleId="55">
    <w:name w:val="footnote reference"/>
    <w:autoRedefine/>
    <w:qFormat/>
    <w:uiPriority w:val="99"/>
    <w:rPr>
      <w:rFonts w:cs="Times New Roman"/>
      <w:vertAlign w:val="superscript"/>
    </w:rPr>
  </w:style>
  <w:style w:type="paragraph" w:customStyle="1" w:styleId="56">
    <w:name w:val="一级"/>
    <w:basedOn w:val="57"/>
    <w:link w:val="136"/>
    <w:autoRedefine/>
    <w:qFormat/>
    <w:uiPriority w:val="0"/>
    <w:pPr>
      <w:widowControl w:val="0"/>
      <w:jc w:val="center"/>
      <w:outlineLvl w:val="0"/>
    </w:pPr>
    <w:rPr>
      <w:rFonts w:ascii="宋体" w:hAnsi="宋体" w:eastAsia="宋体"/>
      <w:kern w:val="0"/>
      <w:sz w:val="32"/>
      <w:szCs w:val="32"/>
    </w:rPr>
  </w:style>
  <w:style w:type="paragraph" w:customStyle="1" w:styleId="57">
    <w:name w:val="样式2"/>
    <w:basedOn w:val="1"/>
    <w:link w:val="137"/>
    <w:autoRedefine/>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paragraph" w:customStyle="1" w:styleId="58">
    <w:name w:val="标题5"/>
    <w:basedOn w:val="4"/>
    <w:link w:val="141"/>
    <w:autoRedefine/>
    <w:qFormat/>
    <w:uiPriority w:val="99"/>
    <w:pPr>
      <w:spacing w:line="412" w:lineRule="auto"/>
    </w:pPr>
    <w:rPr>
      <w:rFonts w:ascii="Arial" w:hAnsi="Arial"/>
      <w:bCs w:val="0"/>
      <w:szCs w:val="20"/>
    </w:rPr>
  </w:style>
  <w:style w:type="paragraph" w:customStyle="1" w:styleId="59">
    <w:name w:val="三级"/>
    <w:basedOn w:val="60"/>
    <w:link w:val="146"/>
    <w:autoRedefine/>
    <w:qFormat/>
    <w:uiPriority w:val="0"/>
    <w:pPr>
      <w:widowControl w:val="0"/>
      <w:tabs>
        <w:tab w:val="left" w:pos="851"/>
      </w:tabs>
      <w:spacing w:after="80" w:line="360" w:lineRule="auto"/>
      <w:ind w:left="851" w:hanging="851"/>
      <w:jc w:val="both"/>
      <w:outlineLvl w:val="3"/>
    </w:pPr>
    <w:rPr>
      <w:rFonts w:ascii="宋体" w:hAnsi="宋体" w:eastAsia="宋体"/>
      <w:szCs w:val="24"/>
    </w:rPr>
  </w:style>
  <w:style w:type="paragraph" w:customStyle="1" w:styleId="60">
    <w:name w:val="A标题4"/>
    <w:basedOn w:val="5"/>
    <w:next w:val="1"/>
    <w:autoRedefine/>
    <w:qFormat/>
    <w:uiPriority w:val="0"/>
    <w:pPr>
      <w:keepNext w:val="0"/>
      <w:keepLines w:val="0"/>
      <w:tabs>
        <w:tab w:val="left" w:pos="851"/>
      </w:tabs>
      <w:spacing w:before="0" w:after="80" w:line="360" w:lineRule="auto"/>
      <w:ind w:left="851" w:hanging="851"/>
    </w:pPr>
    <w:rPr>
      <w:sz w:val="24"/>
    </w:rPr>
  </w:style>
  <w:style w:type="paragraph" w:customStyle="1" w:styleId="61">
    <w:name w:val="样式 标题 2 + Times New Roman 四号 非加粗 段前: 5 磅 段后: 0 磅 行距: 固定值 20..."/>
    <w:basedOn w:val="3"/>
    <w:link w:val="155"/>
    <w:autoRedefine/>
    <w:qFormat/>
    <w:uiPriority w:val="99"/>
    <w:pPr>
      <w:spacing w:before="100" w:after="0" w:line="400" w:lineRule="exact"/>
    </w:pPr>
    <w:rPr>
      <w:rFonts w:ascii="Times New Roman" w:hAnsi="Times New Roman"/>
      <w:b w:val="0"/>
      <w:bCs w:val="0"/>
      <w:sz w:val="20"/>
      <w:szCs w:val="20"/>
    </w:rPr>
  </w:style>
  <w:style w:type="paragraph" w:styleId="62">
    <w:name w:val="Intense Quote"/>
    <w:basedOn w:val="1"/>
    <w:next w:val="1"/>
    <w:link w:val="163"/>
    <w:autoRedefine/>
    <w:qFormat/>
    <w:uiPriority w:val="99"/>
    <w:pPr>
      <w:widowControl w:val="0"/>
      <w:pBdr>
        <w:bottom w:val="single" w:color="4F81BD" w:sz="4" w:space="4"/>
      </w:pBdr>
      <w:spacing w:before="200" w:after="280"/>
      <w:ind w:left="936" w:right="936"/>
      <w:jc w:val="both"/>
    </w:pPr>
    <w:rPr>
      <w:rFonts w:ascii="Calibri" w:hAnsi="Calibri" w:cs="Times New Roman"/>
      <w:b/>
      <w:bCs/>
      <w:i/>
      <w:iCs/>
      <w:color w:val="4F81BD"/>
      <w:sz w:val="20"/>
      <w:szCs w:val="20"/>
    </w:rPr>
  </w:style>
  <w:style w:type="paragraph" w:customStyle="1" w:styleId="63">
    <w:name w:val="正文1"/>
    <w:basedOn w:val="1"/>
    <w:link w:val="164"/>
    <w:autoRedefine/>
    <w:qFormat/>
    <w:uiPriority w:val="99"/>
    <w:pPr>
      <w:widowControl w:val="0"/>
      <w:jc w:val="both"/>
    </w:pPr>
    <w:rPr>
      <w:rFonts w:ascii="Times New Roman" w:hAnsi="Times New Roman" w:cs="Times New Roman"/>
      <w:sz w:val="20"/>
      <w:szCs w:val="20"/>
    </w:rPr>
  </w:style>
  <w:style w:type="paragraph" w:customStyle="1" w:styleId="64">
    <w:name w:val="二级"/>
    <w:basedOn w:val="60"/>
    <w:link w:val="184"/>
    <w:autoRedefine/>
    <w:qFormat/>
    <w:uiPriority w:val="0"/>
    <w:pPr>
      <w:widowControl w:val="0"/>
      <w:spacing w:after="80" w:line="360" w:lineRule="auto"/>
      <w:ind w:left="851" w:hanging="851"/>
      <w:jc w:val="center"/>
      <w:outlineLvl w:val="3"/>
    </w:pPr>
    <w:rPr>
      <w:rFonts w:ascii="宋体" w:hAnsi="宋体" w:eastAsia="宋体"/>
      <w:sz w:val="28"/>
    </w:rPr>
  </w:style>
  <w:style w:type="paragraph" w:styleId="65">
    <w:name w:val="Quote"/>
    <w:basedOn w:val="1"/>
    <w:next w:val="1"/>
    <w:link w:val="189"/>
    <w:autoRedefine/>
    <w:qFormat/>
    <w:uiPriority w:val="99"/>
    <w:pPr>
      <w:widowControl w:val="0"/>
      <w:jc w:val="both"/>
    </w:pPr>
    <w:rPr>
      <w:rFonts w:ascii="Calibri" w:hAnsi="Calibri" w:cs="Times New Roman"/>
      <w:i/>
      <w:iCs/>
      <w:color w:val="000000"/>
      <w:sz w:val="20"/>
      <w:szCs w:val="20"/>
    </w:rPr>
  </w:style>
  <w:style w:type="paragraph" w:customStyle="1" w:styleId="66">
    <w:name w:val="xl29"/>
    <w:basedOn w:val="1"/>
    <w:autoRedefine/>
    <w:qFormat/>
    <w:uiPriority w:val="99"/>
    <w:pPr>
      <w:pBdr>
        <w:bottom w:val="single" w:color="auto" w:sz="4" w:space="0"/>
        <w:right w:val="single" w:color="auto" w:sz="4" w:space="0"/>
      </w:pBdr>
      <w:spacing w:before="100" w:beforeAutospacing="1" w:after="100" w:afterAutospacing="1"/>
      <w:jc w:val="both"/>
      <w:textAlignment w:val="top"/>
    </w:pPr>
    <w:rPr>
      <w:rFonts w:ascii="Arial Unicode MS" w:hAnsi="Arial Unicode MS" w:cs="Times New Roman"/>
    </w:rPr>
  </w:style>
  <w:style w:type="paragraph" w:customStyle="1" w:styleId="6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编号1"/>
    <w:basedOn w:val="12"/>
    <w:autoRedefine/>
    <w:qFormat/>
    <w:uiPriority w:val="99"/>
    <w:pPr>
      <w:numPr>
        <w:ilvl w:val="0"/>
        <w:numId w:val="1"/>
      </w:numPr>
      <w:tabs>
        <w:tab w:val="left" w:pos="720"/>
      </w:tabs>
      <w:adjustRightInd w:val="0"/>
      <w:snapToGrid w:val="0"/>
      <w:spacing w:before="120" w:line="400" w:lineRule="exact"/>
      <w:ind w:left="720" w:firstLine="0" w:firstLineChars="0"/>
    </w:pPr>
    <w:rPr>
      <w:rFonts w:ascii="Times New Roman" w:hAnsi="Times New Roman"/>
    </w:rPr>
  </w:style>
  <w:style w:type="paragraph" w:customStyle="1" w:styleId="69">
    <w:name w:val="Char Char Char Char Char Char Char Char Char Char"/>
    <w:basedOn w:val="1"/>
    <w:autoRedefine/>
    <w:qFormat/>
    <w:uiPriority w:val="99"/>
    <w:pPr>
      <w:widowControl w:val="0"/>
      <w:jc w:val="both"/>
    </w:pPr>
    <w:rPr>
      <w:rFonts w:ascii="Tahoma" w:hAnsi="Tahoma" w:cs="Times New Roman"/>
      <w:kern w:val="2"/>
      <w:szCs w:val="20"/>
    </w:rPr>
  </w:style>
  <w:style w:type="paragraph" w:customStyle="1" w:styleId="70">
    <w:name w:val="标题1 Char Char Char"/>
    <w:basedOn w:val="2"/>
    <w:autoRedefine/>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 w:type="paragraph" w:customStyle="1" w:styleId="71">
    <w:name w:val="Char Char Char Char Char Char Char Char Char Char Char Char Char"/>
    <w:basedOn w:val="1"/>
    <w:autoRedefine/>
    <w:qFormat/>
    <w:uiPriority w:val="99"/>
    <w:pPr>
      <w:widowControl w:val="0"/>
      <w:jc w:val="both"/>
    </w:pPr>
    <w:rPr>
      <w:rFonts w:ascii="Times New Roman" w:hAnsi="Times New Roman" w:cs="Times New Roman"/>
      <w:kern w:val="2"/>
      <w:sz w:val="21"/>
      <w:szCs w:val="20"/>
    </w:rPr>
  </w:style>
  <w:style w:type="paragraph" w:customStyle="1" w:styleId="72">
    <w:name w:val="表格文字"/>
    <w:basedOn w:val="1"/>
    <w:autoRedefine/>
    <w:qFormat/>
    <w:uiPriority w:val="99"/>
    <w:pPr>
      <w:widowControl w:val="0"/>
      <w:adjustRightInd w:val="0"/>
      <w:spacing w:line="420" w:lineRule="atLeast"/>
    </w:pPr>
    <w:rPr>
      <w:rFonts w:ascii="Times New Roman" w:hAnsi="Times New Roman" w:cs="Times New Roman"/>
      <w:sz w:val="21"/>
      <w:szCs w:val="20"/>
    </w:rPr>
  </w:style>
  <w:style w:type="paragraph" w:styleId="73">
    <w:name w:val="List Paragraph"/>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74">
    <w:name w:val="flNote"/>
    <w:basedOn w:val="1"/>
    <w:autoRedefine/>
    <w:qFormat/>
    <w:uiPriority w:val="99"/>
    <w:pPr>
      <w:widowControl w:val="0"/>
      <w:adjustRightInd w:val="0"/>
      <w:spacing w:before="320" w:after="160" w:line="360" w:lineRule="atLeast"/>
      <w:jc w:val="center"/>
    </w:pPr>
    <w:rPr>
      <w:rFonts w:ascii="Arial" w:hAnsi="Times New Roman" w:eastAsia="黑体" w:cs="Times New Roman"/>
      <w:sz w:val="30"/>
      <w:szCs w:val="20"/>
    </w:rPr>
  </w:style>
  <w:style w:type="paragraph" w:customStyle="1" w:styleId="75">
    <w:name w:val="样式 标题 3 + (中文) 黑体 小四 非加粗 段前: 7.8 磅 段后: 0 磅 行距: 固定值 20 磅"/>
    <w:basedOn w:val="4"/>
    <w:autoRedefine/>
    <w:qFormat/>
    <w:uiPriority w:val="99"/>
    <w:pPr>
      <w:spacing w:before="0" w:after="0" w:line="400" w:lineRule="exact"/>
    </w:pPr>
    <w:rPr>
      <w:rFonts w:eastAsia="黑体" w:cs="宋体"/>
      <w:b w:val="0"/>
      <w:bCs w:val="0"/>
      <w:sz w:val="24"/>
      <w:szCs w:val="20"/>
    </w:rPr>
  </w:style>
  <w:style w:type="paragraph" w:customStyle="1" w:styleId="76">
    <w:name w:val="Char"/>
    <w:basedOn w:val="1"/>
    <w:autoRedefine/>
    <w:qFormat/>
    <w:uiPriority w:val="99"/>
    <w:pPr>
      <w:widowControl w:val="0"/>
      <w:jc w:val="both"/>
    </w:pPr>
    <w:rPr>
      <w:rFonts w:ascii="Times New Roman" w:hAnsi="Times New Roman" w:cs="Times New Roman"/>
      <w:kern w:val="2"/>
      <w:sz w:val="21"/>
      <w:szCs w:val="20"/>
    </w:rPr>
  </w:style>
  <w:style w:type="paragraph" w:styleId="77">
    <w:name w:val="No Spacing"/>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Blockquote"/>
    <w:basedOn w:val="1"/>
    <w:autoRedefine/>
    <w:qFormat/>
    <w:uiPriority w:val="99"/>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79">
    <w:name w:val="reader-word-layer"/>
    <w:basedOn w:val="1"/>
    <w:autoRedefine/>
    <w:qFormat/>
    <w:uiPriority w:val="99"/>
    <w:pPr>
      <w:spacing w:before="100" w:beforeAutospacing="1" w:after="100" w:afterAutospacing="1"/>
    </w:pPr>
  </w:style>
  <w:style w:type="paragraph" w:customStyle="1" w:styleId="80">
    <w:name w:val="_Style 78"/>
    <w:basedOn w:val="2"/>
    <w:next w:val="1"/>
    <w:autoRedefine/>
    <w:qFormat/>
    <w:uiPriority w:val="99"/>
    <w:pPr>
      <w:outlineLvl w:val="9"/>
    </w:pPr>
    <w:rPr>
      <w:rFonts w:ascii="Calibri" w:hAnsi="Calibri"/>
    </w:rPr>
  </w:style>
  <w:style w:type="paragraph" w:customStyle="1" w:styleId="81">
    <w:name w:val="p0"/>
    <w:basedOn w:val="1"/>
    <w:autoRedefine/>
    <w:qFormat/>
    <w:uiPriority w:val="99"/>
    <w:pPr>
      <w:jc w:val="both"/>
    </w:pPr>
    <w:rPr>
      <w:rFonts w:ascii="Times New Roman" w:hAnsi="Times New Roman" w:cs="Times New Roman"/>
      <w:sz w:val="21"/>
      <w:szCs w:val="21"/>
    </w:rPr>
  </w:style>
  <w:style w:type="paragraph" w:customStyle="1" w:styleId="82">
    <w:name w:val="样式 正文缩进正文（首行缩进两字）特点ALT+Z表正文正文非缩进四号段1Normal Indent Char2...4"/>
    <w:basedOn w:val="19"/>
    <w:autoRedefine/>
    <w:qFormat/>
    <w:uiPriority w:val="99"/>
    <w:pPr>
      <w:tabs>
        <w:tab w:val="left" w:pos="510"/>
      </w:tabs>
      <w:adjustRightInd w:val="0"/>
      <w:spacing w:line="300" w:lineRule="auto"/>
      <w:ind w:left="0" w:leftChars="0" w:hanging="420"/>
    </w:pPr>
    <w:rPr>
      <w:rFonts w:ascii="Courier New" w:hAnsi="Arial" w:cs="Courier New"/>
      <w:color w:val="000000"/>
      <w:szCs w:val="20"/>
    </w:rPr>
  </w:style>
  <w:style w:type="paragraph" w:customStyle="1" w:styleId="83">
    <w:name w:val="样式1"/>
    <w:basedOn w:val="1"/>
    <w:next w:val="5"/>
    <w:autoRedefine/>
    <w:qFormat/>
    <w:uiPriority w:val="99"/>
    <w:pPr>
      <w:widowControl w:val="0"/>
      <w:spacing w:line="360" w:lineRule="auto"/>
      <w:ind w:firstLine="420" w:firstLineChars="200"/>
      <w:jc w:val="both"/>
    </w:pPr>
    <w:rPr>
      <w:rFonts w:cs="Times New Roman"/>
      <w:kern w:val="2"/>
      <w:sz w:val="21"/>
      <w:szCs w:val="21"/>
    </w:rPr>
  </w:style>
  <w:style w:type="paragraph" w:customStyle="1" w:styleId="84">
    <w:name w:val="默认段落字体 Para Char Char Char Char Char Char Char Char Char1 Char Char Char Char Char Char Char"/>
    <w:basedOn w:val="14"/>
    <w:autoRedefine/>
    <w:qFormat/>
    <w:uiPriority w:val="99"/>
    <w:rPr>
      <w:rFonts w:ascii="Tahoma" w:hAnsi="Tahoma"/>
    </w:rPr>
  </w:style>
  <w:style w:type="paragraph" w:customStyle="1" w:styleId="85">
    <w:name w:val="列出段落1"/>
    <w:basedOn w:val="1"/>
    <w:autoRedefine/>
    <w:qFormat/>
    <w:uiPriority w:val="99"/>
    <w:pPr>
      <w:widowControl w:val="0"/>
      <w:ind w:firstLine="420" w:firstLineChars="200"/>
      <w:jc w:val="both"/>
    </w:pPr>
    <w:rPr>
      <w:rFonts w:ascii="Calibri" w:hAnsi="Calibri" w:cs="Times New Roman"/>
      <w:kern w:val="2"/>
      <w:sz w:val="21"/>
      <w:szCs w:val="22"/>
    </w:rPr>
  </w:style>
  <w:style w:type="paragraph" w:customStyle="1" w:styleId="86">
    <w:name w:val="正文文字编号黑体"/>
    <w:basedOn w:val="1"/>
    <w:autoRedefine/>
    <w:qFormat/>
    <w:uiPriority w:val="99"/>
    <w:pPr>
      <w:widowControl w:val="0"/>
      <w:tabs>
        <w:tab w:val="left" w:pos="1134"/>
      </w:tabs>
      <w:overflowPunct w:val="0"/>
      <w:autoSpaceDE w:val="0"/>
      <w:autoSpaceDN w:val="0"/>
      <w:adjustRightInd w:val="0"/>
      <w:snapToGrid w:val="0"/>
      <w:spacing w:before="120" w:afterLines="50" w:line="360" w:lineRule="exact"/>
      <w:ind w:left="1134" w:hanging="1134"/>
      <w:jc w:val="both"/>
      <w:textAlignment w:val="baseline"/>
    </w:pPr>
    <w:rPr>
      <w:rFonts w:ascii="Times New Roman" w:hAnsi="Times New Roman" w:cs="Times New Roman"/>
      <w:b/>
    </w:rPr>
  </w:style>
  <w:style w:type="paragraph" w:customStyle="1" w:styleId="87">
    <w:name w:val="1"/>
    <w:basedOn w:val="1"/>
    <w:next w:val="1"/>
    <w:autoRedefine/>
    <w:qFormat/>
    <w:uiPriority w:val="99"/>
    <w:pPr>
      <w:widowControl w:val="0"/>
      <w:jc w:val="both"/>
    </w:pPr>
    <w:rPr>
      <w:rFonts w:ascii="Times New Roman" w:hAnsi="Times New Roman" w:cs="Times New Roman"/>
      <w:kern w:val="2"/>
      <w:sz w:val="21"/>
    </w:rPr>
  </w:style>
  <w:style w:type="paragraph" w:customStyle="1" w:styleId="88">
    <w:name w:val="样式 标题 1 + 黑体 三号 非加粗 居中 段前: 6 磅 段后: 6 磅 行距: 固定值 20 磅"/>
    <w:basedOn w:val="2"/>
    <w:autoRedefine/>
    <w:qFormat/>
    <w:uiPriority w:val="99"/>
    <w:pPr>
      <w:spacing w:before="120" w:after="120" w:line="400" w:lineRule="exact"/>
      <w:jc w:val="center"/>
    </w:pPr>
    <w:rPr>
      <w:rFonts w:ascii="黑体" w:hAnsi="黑体" w:eastAsia="黑体" w:cs="宋体"/>
      <w:b w:val="0"/>
      <w:bCs w:val="0"/>
      <w:sz w:val="32"/>
      <w:szCs w:val="20"/>
    </w:rPr>
  </w:style>
  <w:style w:type="paragraph" w:customStyle="1" w:styleId="89">
    <w:name w:val="空半行"/>
    <w:basedOn w:val="1"/>
    <w:autoRedefine/>
    <w:qFormat/>
    <w:uiPriority w:val="99"/>
    <w:pPr>
      <w:widowControl w:val="0"/>
      <w:adjustRightInd w:val="0"/>
      <w:spacing w:line="120" w:lineRule="exact"/>
      <w:jc w:val="both"/>
    </w:pPr>
    <w:rPr>
      <w:rFonts w:ascii="Times New Roman" w:hAnsi="Times New Roman" w:eastAsia="仿宋_GB2312" w:cs="Times New Roman"/>
      <w:color w:val="FFFFFF"/>
      <w:sz w:val="30"/>
      <w:szCs w:val="20"/>
    </w:rPr>
  </w:style>
  <w:style w:type="paragraph" w:customStyle="1" w:styleId="90">
    <w:name w:val="表格"/>
    <w:basedOn w:val="1"/>
    <w:autoRedefine/>
    <w:qFormat/>
    <w:uiPriority w:val="99"/>
    <w:pPr>
      <w:widowControl w:val="0"/>
      <w:jc w:val="center"/>
    </w:pPr>
    <w:rPr>
      <w:rFonts w:ascii="华文细黑" w:hAnsi="华文细黑" w:cs="Times New Roman"/>
      <w:sz w:val="21"/>
      <w:szCs w:val="20"/>
    </w:rPr>
  </w:style>
  <w:style w:type="paragraph" w:customStyle="1" w:styleId="91">
    <w:name w:val="6'"/>
    <w:basedOn w:val="1"/>
    <w:autoRedefine/>
    <w:qFormat/>
    <w:uiPriority w:val="99"/>
    <w:pPr>
      <w:widowControl w:val="0"/>
      <w:autoSpaceDE w:val="0"/>
      <w:autoSpaceDN w:val="0"/>
      <w:adjustRightInd w:val="0"/>
      <w:snapToGrid w:val="0"/>
      <w:spacing w:line="320" w:lineRule="exact"/>
      <w:jc w:val="center"/>
    </w:pPr>
    <w:rPr>
      <w:rFonts w:ascii="Times New Roman" w:hAnsi="Times New Roman" w:cs="Times New Roman"/>
      <w:spacing w:val="20"/>
      <w:kern w:val="28"/>
      <w:sz w:val="21"/>
      <w:szCs w:val="20"/>
    </w:rPr>
  </w:style>
  <w:style w:type="character" w:customStyle="1" w:styleId="92">
    <w:name w:val="正文文本缩进 Char"/>
    <w:link w:val="19"/>
    <w:autoRedefine/>
    <w:qFormat/>
    <w:uiPriority w:val="99"/>
    <w:rPr>
      <w:rFonts w:ascii="Times New Roman" w:hAnsi="Times New Roman" w:eastAsia="宋体" w:cs="Times New Roman"/>
      <w:kern w:val="0"/>
      <w:sz w:val="24"/>
      <w:szCs w:val="24"/>
    </w:rPr>
  </w:style>
  <w:style w:type="character" w:customStyle="1" w:styleId="93">
    <w:name w:val="正文首行缩进 2 Char"/>
    <w:basedOn w:val="92"/>
    <w:link w:val="45"/>
    <w:autoRedefine/>
    <w:qFormat/>
    <w:uiPriority w:val="99"/>
  </w:style>
  <w:style w:type="character" w:customStyle="1" w:styleId="94">
    <w:name w:val="标题 1 Char"/>
    <w:link w:val="2"/>
    <w:autoRedefine/>
    <w:qFormat/>
    <w:uiPriority w:val="99"/>
    <w:rPr>
      <w:rFonts w:ascii="Times New Roman" w:hAnsi="Times New Roman" w:eastAsia="宋体" w:cs="Times New Roman"/>
      <w:b/>
      <w:bCs/>
      <w:kern w:val="44"/>
      <w:sz w:val="44"/>
      <w:szCs w:val="44"/>
    </w:rPr>
  </w:style>
  <w:style w:type="character" w:customStyle="1" w:styleId="95">
    <w:name w:val="标题 2 Char1"/>
    <w:link w:val="3"/>
    <w:autoRedefine/>
    <w:qFormat/>
    <w:locked/>
    <w:uiPriority w:val="99"/>
    <w:rPr>
      <w:rFonts w:ascii="Arial" w:hAnsi="Arial" w:eastAsia="黑体" w:cs="Times New Roman"/>
      <w:b/>
      <w:bCs/>
      <w:sz w:val="32"/>
      <w:szCs w:val="32"/>
    </w:rPr>
  </w:style>
  <w:style w:type="character" w:customStyle="1" w:styleId="96">
    <w:name w:val="标题 3 Char"/>
    <w:link w:val="4"/>
    <w:autoRedefine/>
    <w:qFormat/>
    <w:uiPriority w:val="99"/>
    <w:rPr>
      <w:rFonts w:ascii="宋体" w:hAnsi="宋体" w:eastAsia="宋体" w:cs="宋体"/>
      <w:b/>
      <w:bCs/>
      <w:kern w:val="0"/>
      <w:sz w:val="32"/>
      <w:szCs w:val="32"/>
    </w:rPr>
  </w:style>
  <w:style w:type="character" w:customStyle="1" w:styleId="97">
    <w:name w:val="标题 4 Char"/>
    <w:link w:val="5"/>
    <w:autoRedefine/>
    <w:qFormat/>
    <w:uiPriority w:val="99"/>
    <w:rPr>
      <w:rFonts w:ascii="Arial" w:hAnsi="Arial" w:eastAsia="黑体" w:cs="Times New Roman"/>
      <w:b/>
      <w:bCs/>
      <w:sz w:val="28"/>
      <w:szCs w:val="28"/>
    </w:rPr>
  </w:style>
  <w:style w:type="character" w:customStyle="1" w:styleId="98">
    <w:name w:val="标题 5 Char"/>
    <w:link w:val="6"/>
    <w:autoRedefine/>
    <w:qFormat/>
    <w:uiPriority w:val="99"/>
    <w:rPr>
      <w:rFonts w:ascii="Times New Roman" w:hAnsi="Times New Roman" w:eastAsia="宋体" w:cs="Times New Roman"/>
      <w:b/>
      <w:sz w:val="28"/>
      <w:szCs w:val="20"/>
    </w:rPr>
  </w:style>
  <w:style w:type="character" w:customStyle="1" w:styleId="99">
    <w:name w:val="标题 6 Char"/>
    <w:link w:val="7"/>
    <w:autoRedefine/>
    <w:qFormat/>
    <w:uiPriority w:val="99"/>
    <w:rPr>
      <w:rFonts w:ascii="Arial" w:hAnsi="Arial" w:eastAsia="黑体" w:cs="Times New Roman"/>
      <w:b/>
      <w:bCs/>
      <w:kern w:val="0"/>
      <w:sz w:val="24"/>
      <w:szCs w:val="24"/>
    </w:rPr>
  </w:style>
  <w:style w:type="character" w:customStyle="1" w:styleId="100">
    <w:name w:val="标题 7 Char"/>
    <w:link w:val="8"/>
    <w:autoRedefine/>
    <w:qFormat/>
    <w:uiPriority w:val="99"/>
    <w:rPr>
      <w:rFonts w:ascii="Times New Roman" w:hAnsi="Times New Roman" w:eastAsia="宋体" w:cs="Times New Roman"/>
      <w:b/>
      <w:bCs/>
      <w:kern w:val="0"/>
      <w:sz w:val="24"/>
      <w:szCs w:val="24"/>
    </w:rPr>
  </w:style>
  <w:style w:type="character" w:customStyle="1" w:styleId="101">
    <w:name w:val="标题 8 Char"/>
    <w:link w:val="9"/>
    <w:autoRedefine/>
    <w:qFormat/>
    <w:uiPriority w:val="99"/>
    <w:rPr>
      <w:rFonts w:ascii="Arial" w:hAnsi="Arial" w:eastAsia="黑体" w:cs="Times New Roman"/>
      <w:kern w:val="0"/>
      <w:sz w:val="24"/>
      <w:szCs w:val="24"/>
    </w:rPr>
  </w:style>
  <w:style w:type="character" w:customStyle="1" w:styleId="102">
    <w:name w:val="标题 9 Char"/>
    <w:link w:val="10"/>
    <w:autoRedefine/>
    <w:qFormat/>
    <w:uiPriority w:val="99"/>
    <w:rPr>
      <w:rFonts w:ascii="Arial" w:hAnsi="Arial" w:eastAsia="黑体" w:cs="Times New Roman"/>
      <w:kern w:val="0"/>
      <w:szCs w:val="21"/>
    </w:rPr>
  </w:style>
  <w:style w:type="character" w:customStyle="1" w:styleId="103">
    <w:name w:val="正文缩进 Char"/>
    <w:link w:val="12"/>
    <w:autoRedefine/>
    <w:qFormat/>
    <w:locked/>
    <w:uiPriority w:val="99"/>
    <w:rPr>
      <w:rFonts w:ascii="宋体" w:hAnsi="宋体" w:eastAsia="宋体"/>
      <w:sz w:val="24"/>
    </w:rPr>
  </w:style>
  <w:style w:type="character" w:customStyle="1" w:styleId="104">
    <w:name w:val="文档结构图 Char"/>
    <w:link w:val="14"/>
    <w:autoRedefine/>
    <w:qFormat/>
    <w:uiPriority w:val="99"/>
    <w:rPr>
      <w:rFonts w:ascii="Times New Roman" w:hAnsi="Times New Roman" w:eastAsia="宋体" w:cs="Times New Roman"/>
      <w:kern w:val="0"/>
      <w:sz w:val="24"/>
      <w:szCs w:val="24"/>
      <w:shd w:val="clear" w:color="auto" w:fill="000080"/>
    </w:rPr>
  </w:style>
  <w:style w:type="character" w:customStyle="1" w:styleId="105">
    <w:name w:val="批注文字 Char1"/>
    <w:link w:val="15"/>
    <w:autoRedefine/>
    <w:qFormat/>
    <w:uiPriority w:val="99"/>
    <w:rPr>
      <w:rFonts w:ascii="Calibri" w:hAnsi="Calibri" w:eastAsia="宋体" w:cs="Times New Roman"/>
      <w:kern w:val="0"/>
      <w:sz w:val="24"/>
      <w:szCs w:val="24"/>
    </w:rPr>
  </w:style>
  <w:style w:type="character" w:customStyle="1" w:styleId="106">
    <w:name w:val="称呼 Char"/>
    <w:link w:val="16"/>
    <w:autoRedefine/>
    <w:qFormat/>
    <w:uiPriority w:val="99"/>
    <w:rPr>
      <w:rFonts w:ascii="Times New Roman" w:hAnsi="Times New Roman" w:eastAsia="宋体" w:cs="Times New Roman"/>
      <w:sz w:val="28"/>
      <w:szCs w:val="24"/>
    </w:rPr>
  </w:style>
  <w:style w:type="character" w:customStyle="1" w:styleId="107">
    <w:name w:val="正文文本 3 Char"/>
    <w:link w:val="17"/>
    <w:autoRedefine/>
    <w:qFormat/>
    <w:uiPriority w:val="99"/>
    <w:rPr>
      <w:rFonts w:ascii="宋体" w:hAnsi="Times New Roman" w:eastAsia="宋体" w:cs="Times New Roman"/>
      <w:kern w:val="0"/>
      <w:sz w:val="20"/>
      <w:szCs w:val="20"/>
    </w:rPr>
  </w:style>
  <w:style w:type="character" w:customStyle="1" w:styleId="108">
    <w:name w:val="正文文本 Char"/>
    <w:link w:val="18"/>
    <w:autoRedefine/>
    <w:qFormat/>
    <w:uiPriority w:val="99"/>
    <w:rPr>
      <w:rFonts w:ascii="Times New Roman" w:hAnsi="Times New Roman" w:eastAsia="宋体" w:cs="Times New Roman"/>
      <w:kern w:val="0"/>
      <w:sz w:val="24"/>
      <w:szCs w:val="24"/>
    </w:rPr>
  </w:style>
  <w:style w:type="character" w:customStyle="1" w:styleId="109">
    <w:name w:val="纯文本 Char1"/>
    <w:link w:val="24"/>
    <w:autoRedefine/>
    <w:qFormat/>
    <w:uiPriority w:val="99"/>
    <w:rPr>
      <w:rFonts w:ascii="宋体" w:hAnsi="Courier New" w:eastAsia="宋体" w:cs="Times New Roman"/>
      <w:kern w:val="0"/>
      <w:sz w:val="20"/>
      <w:szCs w:val="20"/>
    </w:rPr>
  </w:style>
  <w:style w:type="character" w:customStyle="1" w:styleId="110">
    <w:name w:val="日期 Char"/>
    <w:link w:val="26"/>
    <w:autoRedefine/>
    <w:qFormat/>
    <w:uiPriority w:val="99"/>
    <w:rPr>
      <w:rFonts w:ascii="Times New Roman" w:hAnsi="Times New Roman" w:eastAsia="宋体" w:cs="Times New Roman"/>
      <w:kern w:val="0"/>
      <w:sz w:val="24"/>
      <w:szCs w:val="24"/>
    </w:rPr>
  </w:style>
  <w:style w:type="character" w:customStyle="1" w:styleId="111">
    <w:name w:val="正文文本缩进 2 Char"/>
    <w:link w:val="27"/>
    <w:autoRedefine/>
    <w:qFormat/>
    <w:uiPriority w:val="99"/>
    <w:rPr>
      <w:rFonts w:ascii="Times New Roman" w:hAnsi="Times New Roman" w:eastAsia="宋体" w:cs="Times New Roman"/>
      <w:kern w:val="0"/>
      <w:sz w:val="24"/>
      <w:szCs w:val="24"/>
    </w:rPr>
  </w:style>
  <w:style w:type="character" w:customStyle="1" w:styleId="112">
    <w:name w:val="批注框文本 Char"/>
    <w:link w:val="28"/>
    <w:autoRedefine/>
    <w:qFormat/>
    <w:uiPriority w:val="99"/>
    <w:rPr>
      <w:rFonts w:ascii="Calibri" w:hAnsi="Calibri" w:eastAsia="宋体" w:cs="Times New Roman"/>
      <w:sz w:val="18"/>
      <w:szCs w:val="18"/>
    </w:rPr>
  </w:style>
  <w:style w:type="character" w:customStyle="1" w:styleId="113">
    <w:name w:val="页脚 Char"/>
    <w:link w:val="29"/>
    <w:autoRedefine/>
    <w:qFormat/>
    <w:uiPriority w:val="99"/>
    <w:rPr>
      <w:sz w:val="18"/>
      <w:szCs w:val="18"/>
    </w:rPr>
  </w:style>
  <w:style w:type="character" w:customStyle="1" w:styleId="114">
    <w:name w:val="页眉 Char"/>
    <w:link w:val="30"/>
    <w:autoRedefine/>
    <w:semiHidden/>
    <w:qFormat/>
    <w:uiPriority w:val="99"/>
    <w:rPr>
      <w:sz w:val="18"/>
      <w:szCs w:val="18"/>
    </w:rPr>
  </w:style>
  <w:style w:type="character" w:customStyle="1" w:styleId="115">
    <w:name w:val="副标题 Char1"/>
    <w:link w:val="33"/>
    <w:autoRedefine/>
    <w:qFormat/>
    <w:uiPriority w:val="99"/>
    <w:rPr>
      <w:rFonts w:ascii="Cambria" w:hAnsi="Cambria" w:eastAsia="宋体" w:cs="Times New Roman"/>
      <w:b/>
      <w:bCs/>
      <w:kern w:val="28"/>
      <w:sz w:val="32"/>
      <w:szCs w:val="32"/>
    </w:rPr>
  </w:style>
  <w:style w:type="character" w:customStyle="1" w:styleId="116">
    <w:name w:val="脚注文本 Char"/>
    <w:link w:val="34"/>
    <w:autoRedefine/>
    <w:qFormat/>
    <w:uiPriority w:val="99"/>
    <w:rPr>
      <w:rFonts w:ascii="Times New Roman" w:hAnsi="Times New Roman" w:eastAsia="宋体" w:cs="Times New Roman"/>
      <w:kern w:val="0"/>
      <w:sz w:val="20"/>
      <w:szCs w:val="20"/>
    </w:rPr>
  </w:style>
  <w:style w:type="character" w:customStyle="1" w:styleId="117">
    <w:name w:val="正文文本缩进 3 Char"/>
    <w:link w:val="36"/>
    <w:autoRedefine/>
    <w:qFormat/>
    <w:uiPriority w:val="99"/>
    <w:rPr>
      <w:rFonts w:ascii="Times New Roman" w:hAnsi="Times New Roman" w:eastAsia="宋体" w:cs="Times New Roman"/>
      <w:kern w:val="0"/>
      <w:sz w:val="16"/>
      <w:szCs w:val="16"/>
    </w:rPr>
  </w:style>
  <w:style w:type="character" w:customStyle="1" w:styleId="118">
    <w:name w:val="正文文本 2 Char1"/>
    <w:link w:val="39"/>
    <w:autoRedefine/>
    <w:qFormat/>
    <w:uiPriority w:val="99"/>
    <w:rPr>
      <w:rFonts w:ascii="宋体" w:hAnsi="Calibri" w:eastAsia="宋体" w:cs="Times New Roman"/>
      <w:color w:val="000000"/>
      <w:kern w:val="0"/>
      <w:sz w:val="18"/>
      <w:szCs w:val="18"/>
    </w:rPr>
  </w:style>
  <w:style w:type="character" w:customStyle="1" w:styleId="119">
    <w:name w:val="标题 Char1"/>
    <w:link w:val="43"/>
    <w:autoRedefine/>
    <w:qFormat/>
    <w:uiPriority w:val="99"/>
    <w:rPr>
      <w:rFonts w:ascii="Arial" w:hAnsi="Arial" w:eastAsia="宋体" w:cs="Times New Roman"/>
      <w:b/>
      <w:kern w:val="0"/>
      <w:sz w:val="32"/>
      <w:szCs w:val="20"/>
    </w:rPr>
  </w:style>
  <w:style w:type="character" w:customStyle="1" w:styleId="120">
    <w:name w:val="批注主题 Char2"/>
    <w:link w:val="44"/>
    <w:autoRedefine/>
    <w:qFormat/>
    <w:uiPriority w:val="99"/>
    <w:rPr>
      <w:rFonts w:ascii="Calibri" w:hAnsi="Calibri" w:eastAsia="宋体" w:cs="Times New Roman"/>
      <w:b/>
      <w:bCs/>
      <w:kern w:val="0"/>
      <w:sz w:val="24"/>
      <w:szCs w:val="24"/>
    </w:rPr>
  </w:style>
  <w:style w:type="character" w:customStyle="1" w:styleId="121">
    <w:name w:val="Document Map Char"/>
    <w:autoRedefine/>
    <w:qFormat/>
    <w:locked/>
    <w:uiPriority w:val="99"/>
    <w:rPr>
      <w:rFonts w:ascii="Times New Roman" w:hAnsi="Times New Roman" w:eastAsia="宋体" w:cs="Times New Roman"/>
      <w:sz w:val="24"/>
      <w:szCs w:val="24"/>
      <w:shd w:val="clear" w:color="auto" w:fill="000080"/>
    </w:rPr>
  </w:style>
  <w:style w:type="character" w:customStyle="1" w:styleId="122">
    <w:name w:val="标题 Char"/>
    <w:autoRedefine/>
    <w:qFormat/>
    <w:uiPriority w:val="99"/>
    <w:rPr>
      <w:rFonts w:ascii="Cambria" w:hAnsi="Cambria" w:eastAsia="宋体" w:cs="Times New Roman"/>
      <w:b/>
      <w:bCs/>
      <w:sz w:val="32"/>
      <w:szCs w:val="32"/>
    </w:rPr>
  </w:style>
  <w:style w:type="character" w:customStyle="1" w:styleId="123">
    <w:name w:val="Char Char12"/>
    <w:autoRedefine/>
    <w:qFormat/>
    <w:locked/>
    <w:uiPriority w:val="99"/>
    <w:rPr>
      <w:rFonts w:ascii="宋体" w:hAnsi="宋体" w:eastAsia="宋体"/>
      <w:kern w:val="2"/>
      <w:sz w:val="24"/>
    </w:rPr>
  </w:style>
  <w:style w:type="character" w:customStyle="1" w:styleId="124">
    <w:name w:val="正文文本 3 Char1"/>
    <w:autoRedefine/>
    <w:qFormat/>
    <w:uiPriority w:val="99"/>
    <w:rPr>
      <w:rFonts w:cs="Times New Roman"/>
      <w:kern w:val="2"/>
      <w:sz w:val="16"/>
      <w:szCs w:val="16"/>
    </w:rPr>
  </w:style>
  <w:style w:type="character" w:customStyle="1" w:styleId="125">
    <w:name w:val="Char Char7"/>
    <w:autoRedefine/>
    <w:qFormat/>
    <w:uiPriority w:val="99"/>
    <w:rPr>
      <w:rFonts w:ascii="Arial" w:hAnsi="Arial" w:eastAsia="黑体"/>
      <w:b/>
      <w:kern w:val="2"/>
      <w:sz w:val="32"/>
      <w:lang w:val="en-US" w:eastAsia="zh-CN"/>
    </w:rPr>
  </w:style>
  <w:style w:type="character" w:customStyle="1" w:styleId="126">
    <w:name w:val="Body Text Indent Char"/>
    <w:autoRedefine/>
    <w:qFormat/>
    <w:locked/>
    <w:uiPriority w:val="99"/>
    <w:rPr>
      <w:rFonts w:ascii="Times New Roman" w:hAnsi="Times New Roman" w:eastAsia="宋体" w:cs="Times New Roman"/>
      <w:sz w:val="24"/>
      <w:szCs w:val="24"/>
    </w:rPr>
  </w:style>
  <w:style w:type="character" w:customStyle="1" w:styleId="127">
    <w:name w:val="正文文本缩进 2 Char1"/>
    <w:autoRedefine/>
    <w:qFormat/>
    <w:uiPriority w:val="99"/>
    <w:rPr>
      <w:rFonts w:cs="Times New Roman"/>
      <w:kern w:val="2"/>
      <w:sz w:val="24"/>
      <w:szCs w:val="24"/>
    </w:rPr>
  </w:style>
  <w:style w:type="character" w:customStyle="1" w:styleId="128">
    <w:name w:val="正文文本 Char1"/>
    <w:autoRedefine/>
    <w:qFormat/>
    <w:uiPriority w:val="99"/>
    <w:rPr>
      <w:kern w:val="2"/>
      <w:sz w:val="22"/>
    </w:rPr>
  </w:style>
  <w:style w:type="character" w:customStyle="1" w:styleId="129">
    <w:name w:val="Char Char3"/>
    <w:autoRedefine/>
    <w:qFormat/>
    <w:locked/>
    <w:uiPriority w:val="99"/>
    <w:rPr>
      <w:rFonts w:ascii="宋体" w:hAnsi="宋体" w:eastAsia="宋体"/>
      <w:kern w:val="2"/>
      <w:sz w:val="24"/>
      <w:lang w:val="en-US" w:eastAsia="zh-CN"/>
    </w:rPr>
  </w:style>
  <w:style w:type="character" w:customStyle="1" w:styleId="130">
    <w:name w:val="文档结构图 Char1"/>
    <w:autoRedefine/>
    <w:qFormat/>
    <w:uiPriority w:val="99"/>
    <w:rPr>
      <w:rFonts w:ascii="宋体" w:hAnsi="宋体" w:eastAsia="宋体"/>
      <w:kern w:val="2"/>
      <w:sz w:val="18"/>
    </w:rPr>
  </w:style>
  <w:style w:type="character" w:customStyle="1" w:styleId="131">
    <w:name w:val="批注框文本 Char1"/>
    <w:autoRedefine/>
    <w:qFormat/>
    <w:uiPriority w:val="99"/>
    <w:rPr>
      <w:kern w:val="2"/>
      <w:sz w:val="18"/>
    </w:rPr>
  </w:style>
  <w:style w:type="character" w:customStyle="1" w:styleId="132">
    <w:name w:val="_Style 130"/>
    <w:autoRedefine/>
    <w:qFormat/>
    <w:uiPriority w:val="99"/>
    <w:rPr>
      <w:i/>
      <w:color w:val="808080"/>
    </w:rPr>
  </w:style>
  <w:style w:type="character" w:customStyle="1" w:styleId="133">
    <w:name w:val="批注主题 Char"/>
    <w:autoRedefine/>
    <w:qFormat/>
    <w:uiPriority w:val="99"/>
    <w:rPr>
      <w:rFonts w:ascii="Times New Roman" w:hAnsi="Times New Roman" w:eastAsia="宋体" w:cs="Times New Roman"/>
      <w:b/>
      <w:bCs/>
      <w:sz w:val="24"/>
      <w:szCs w:val="24"/>
    </w:rPr>
  </w:style>
  <w:style w:type="character" w:customStyle="1" w:styleId="134">
    <w:name w:val="Quote Char"/>
    <w:autoRedefine/>
    <w:qFormat/>
    <w:locked/>
    <w:uiPriority w:val="99"/>
    <w:rPr>
      <w:rFonts w:cs="Times New Roman"/>
      <w:i/>
      <w:iCs/>
      <w:color w:val="000000"/>
    </w:rPr>
  </w:style>
  <w:style w:type="character" w:customStyle="1" w:styleId="135">
    <w:name w:val="Char Char2"/>
    <w:autoRedefine/>
    <w:qFormat/>
    <w:locked/>
    <w:uiPriority w:val="99"/>
    <w:rPr>
      <w:rFonts w:ascii="宋体" w:hAnsi="宋体" w:eastAsia="宋体"/>
      <w:kern w:val="2"/>
      <w:sz w:val="24"/>
      <w:lang w:val="en-US" w:eastAsia="zh-CN"/>
    </w:rPr>
  </w:style>
  <w:style w:type="character" w:customStyle="1" w:styleId="136">
    <w:name w:val="一级 Char"/>
    <w:link w:val="56"/>
    <w:autoRedefine/>
    <w:qFormat/>
    <w:uiPriority w:val="0"/>
    <w:rPr>
      <w:rFonts w:ascii="宋体" w:hAnsi="宋体"/>
      <w:b/>
      <w:sz w:val="32"/>
      <w:szCs w:val="32"/>
    </w:rPr>
  </w:style>
  <w:style w:type="character" w:customStyle="1" w:styleId="137">
    <w:name w:val="样式2 Char"/>
    <w:link w:val="57"/>
    <w:autoRedefine/>
    <w:qFormat/>
    <w:locked/>
    <w:uiPriority w:val="0"/>
    <w:rPr>
      <w:rFonts w:ascii="Times New Roman" w:hAnsi="Times New Roman" w:eastAsia="黑体"/>
      <w:b/>
      <w:kern w:val="2"/>
      <w:sz w:val="44"/>
      <w:szCs w:val="44"/>
    </w:rPr>
  </w:style>
  <w:style w:type="character" w:customStyle="1" w:styleId="138">
    <w:name w:val="Intense Quote Char"/>
    <w:autoRedefine/>
    <w:qFormat/>
    <w:locked/>
    <w:uiPriority w:val="99"/>
    <w:rPr>
      <w:rFonts w:cs="Times New Roman"/>
      <w:b/>
      <w:bCs/>
      <w:i/>
      <w:iCs/>
      <w:color w:val="4F81BD"/>
    </w:rPr>
  </w:style>
  <w:style w:type="character" w:customStyle="1" w:styleId="139">
    <w:name w:val="Intense Quote Char2"/>
    <w:autoRedefine/>
    <w:qFormat/>
    <w:locked/>
    <w:uiPriority w:val="99"/>
    <w:rPr>
      <w:rFonts w:ascii="Calibri" w:hAnsi="Calibri" w:eastAsia="宋体" w:cs="Times New Roman"/>
      <w:b/>
      <w:bCs/>
      <w:i/>
      <w:iCs/>
      <w:color w:val="4F81BD"/>
    </w:rPr>
  </w:style>
  <w:style w:type="character" w:customStyle="1" w:styleId="140">
    <w:name w:val="Char Char8"/>
    <w:autoRedefine/>
    <w:qFormat/>
    <w:uiPriority w:val="99"/>
    <w:rPr>
      <w:rFonts w:ascii="Arial" w:hAnsi="Arial" w:eastAsia="黑体"/>
      <w:b/>
      <w:kern w:val="2"/>
      <w:sz w:val="32"/>
      <w:lang w:val="en-US" w:eastAsia="zh-CN"/>
    </w:rPr>
  </w:style>
  <w:style w:type="character" w:customStyle="1" w:styleId="141">
    <w:name w:val="标题5 Char Char"/>
    <w:link w:val="58"/>
    <w:autoRedefine/>
    <w:qFormat/>
    <w:locked/>
    <w:uiPriority w:val="99"/>
    <w:rPr>
      <w:rFonts w:ascii="Arial" w:hAnsi="Arial"/>
      <w:b/>
      <w:sz w:val="32"/>
    </w:rPr>
  </w:style>
  <w:style w:type="character" w:customStyle="1" w:styleId="142">
    <w:name w:val="_Style 140"/>
    <w:autoRedefine/>
    <w:qFormat/>
    <w:uiPriority w:val="99"/>
    <w:rPr>
      <w:smallCaps/>
      <w:color w:val="C0504D"/>
      <w:u w:val="single"/>
    </w:rPr>
  </w:style>
  <w:style w:type="character" w:customStyle="1" w:styleId="143">
    <w:name w:val="Char Char9"/>
    <w:autoRedefine/>
    <w:qFormat/>
    <w:uiPriority w:val="99"/>
    <w:rPr>
      <w:kern w:val="2"/>
      <w:sz w:val="22"/>
    </w:rPr>
  </w:style>
  <w:style w:type="character" w:customStyle="1" w:styleId="144">
    <w:name w:val="Subtitle Char"/>
    <w:autoRedefine/>
    <w:qFormat/>
    <w:locked/>
    <w:uiPriority w:val="99"/>
    <w:rPr>
      <w:rFonts w:ascii="Cambria" w:hAnsi="Cambria" w:cs="Times New Roman"/>
      <w:b/>
      <w:bCs/>
      <w:kern w:val="28"/>
      <w:sz w:val="32"/>
      <w:szCs w:val="32"/>
    </w:rPr>
  </w:style>
  <w:style w:type="character" w:customStyle="1" w:styleId="145">
    <w:name w:val="_Style 143"/>
    <w:autoRedefine/>
    <w:qFormat/>
    <w:uiPriority w:val="99"/>
    <w:rPr>
      <w:b/>
      <w:smallCaps/>
      <w:spacing w:val="5"/>
    </w:rPr>
  </w:style>
  <w:style w:type="character" w:customStyle="1" w:styleId="146">
    <w:name w:val="三级 Char"/>
    <w:link w:val="59"/>
    <w:autoRedefine/>
    <w:qFormat/>
    <w:uiPriority w:val="0"/>
    <w:rPr>
      <w:rFonts w:ascii="宋体" w:hAnsi="宋体"/>
      <w:b/>
      <w:bCs/>
      <w:sz w:val="24"/>
      <w:szCs w:val="24"/>
    </w:rPr>
  </w:style>
  <w:style w:type="character" w:customStyle="1" w:styleId="147">
    <w:name w:val="_Style 145"/>
    <w:autoRedefine/>
    <w:qFormat/>
    <w:uiPriority w:val="99"/>
    <w:rPr>
      <w:b/>
      <w:i/>
      <w:color w:val="4F81BD"/>
    </w:rPr>
  </w:style>
  <w:style w:type="character" w:customStyle="1" w:styleId="148">
    <w:name w:val="Subtitle Char1"/>
    <w:autoRedefine/>
    <w:qFormat/>
    <w:locked/>
    <w:uiPriority w:val="99"/>
    <w:rPr>
      <w:rFonts w:ascii="Cambria" w:hAnsi="Cambria" w:cs="Times New Roman"/>
      <w:b/>
      <w:bCs/>
      <w:kern w:val="28"/>
      <w:sz w:val="32"/>
      <w:szCs w:val="32"/>
    </w:rPr>
  </w:style>
  <w:style w:type="character" w:customStyle="1" w:styleId="149">
    <w:name w:val="纯文本 Char"/>
    <w:autoRedefine/>
    <w:qFormat/>
    <w:uiPriority w:val="99"/>
    <w:rPr>
      <w:rFonts w:ascii="宋体" w:hAnsi="Courier New" w:eastAsia="宋体" w:cs="Courier New"/>
      <w:sz w:val="21"/>
      <w:szCs w:val="21"/>
    </w:rPr>
  </w:style>
  <w:style w:type="character" w:customStyle="1" w:styleId="150">
    <w:name w:val="Char Char"/>
    <w:autoRedefine/>
    <w:qFormat/>
    <w:uiPriority w:val="99"/>
    <w:rPr>
      <w:rFonts w:ascii="Arial" w:hAnsi="Arial" w:eastAsia="黑体"/>
      <w:b/>
      <w:kern w:val="2"/>
      <w:sz w:val="32"/>
      <w:lang w:val="en-US" w:eastAsia="zh-CN"/>
    </w:rPr>
  </w:style>
  <w:style w:type="character" w:customStyle="1" w:styleId="151">
    <w:name w:val="Quote Char1"/>
    <w:autoRedefine/>
    <w:qFormat/>
    <w:locked/>
    <w:uiPriority w:val="99"/>
    <w:rPr>
      <w:rFonts w:cs="Times New Roman"/>
      <w:i/>
      <w:iCs/>
      <w:color w:val="000000"/>
    </w:rPr>
  </w:style>
  <w:style w:type="character" w:customStyle="1" w:styleId="152">
    <w:name w:val="明显引用 Char"/>
    <w:autoRedefine/>
    <w:qFormat/>
    <w:uiPriority w:val="99"/>
    <w:rPr>
      <w:rFonts w:ascii="Times New Roman" w:hAnsi="Times New Roman" w:eastAsia="宋体" w:cs="Times New Roman"/>
      <w:b/>
      <w:bCs/>
      <w:i/>
      <w:iCs/>
      <w:color w:val="4F81BD"/>
      <w:sz w:val="24"/>
      <w:szCs w:val="24"/>
    </w:rPr>
  </w:style>
  <w:style w:type="character" w:customStyle="1" w:styleId="153">
    <w:name w:val="标题 3 字符"/>
    <w:autoRedefine/>
    <w:qFormat/>
    <w:locked/>
    <w:uiPriority w:val="99"/>
    <w:rPr>
      <w:rFonts w:ascii="Times New Roman" w:hAnsi="Times New Roman" w:eastAsia="宋体" w:cs="Times New Roman"/>
      <w:b/>
      <w:bCs/>
      <w:sz w:val="32"/>
      <w:szCs w:val="32"/>
    </w:rPr>
  </w:style>
  <w:style w:type="character" w:customStyle="1" w:styleId="154">
    <w:name w:val="Subtitle Char2"/>
    <w:autoRedefine/>
    <w:qFormat/>
    <w:locked/>
    <w:uiPriority w:val="99"/>
    <w:rPr>
      <w:rFonts w:ascii="Cambria" w:hAnsi="Cambria" w:eastAsia="宋体" w:cs="Times New Roman"/>
      <w:b/>
      <w:bCs/>
      <w:kern w:val="28"/>
      <w:sz w:val="32"/>
      <w:szCs w:val="32"/>
    </w:rPr>
  </w:style>
  <w:style w:type="character" w:customStyle="1" w:styleId="155">
    <w:name w:val="样式 标题 2 + Times New Roman 四号 非加粗 段前: 5 磅 段后: 0 磅 行距: 固定值 20... Char"/>
    <w:link w:val="61"/>
    <w:autoRedefine/>
    <w:qFormat/>
    <w:locked/>
    <w:uiPriority w:val="99"/>
    <w:rPr>
      <w:rFonts w:ascii="Times New Roman" w:hAnsi="Times New Roman" w:eastAsia="黑体" w:cs="宋体"/>
      <w:sz w:val="20"/>
      <w:szCs w:val="20"/>
    </w:rPr>
  </w:style>
  <w:style w:type="character" w:customStyle="1" w:styleId="156">
    <w:name w:val="正文文本 2 Char"/>
    <w:autoRedefine/>
    <w:qFormat/>
    <w:uiPriority w:val="99"/>
    <w:rPr>
      <w:rFonts w:ascii="Times New Roman" w:hAnsi="Times New Roman" w:eastAsia="宋体" w:cs="Times New Roman"/>
      <w:sz w:val="24"/>
      <w:szCs w:val="24"/>
    </w:rPr>
  </w:style>
  <w:style w:type="character" w:customStyle="1" w:styleId="157">
    <w:name w:val="副标题 Char"/>
    <w:autoRedefine/>
    <w:qFormat/>
    <w:uiPriority w:val="99"/>
    <w:rPr>
      <w:rFonts w:ascii="Cambria" w:hAnsi="Cambria" w:eastAsia="宋体" w:cs="Times New Roman"/>
      <w:b/>
      <w:bCs/>
      <w:kern w:val="28"/>
      <w:sz w:val="32"/>
      <w:szCs w:val="32"/>
    </w:rPr>
  </w:style>
  <w:style w:type="character" w:customStyle="1" w:styleId="158">
    <w:name w:val="日期 Char1"/>
    <w:autoRedefine/>
    <w:qFormat/>
    <w:uiPriority w:val="99"/>
    <w:rPr>
      <w:kern w:val="2"/>
      <w:sz w:val="22"/>
    </w:rPr>
  </w:style>
  <w:style w:type="character" w:customStyle="1" w:styleId="159">
    <w:name w:val="Body Text Indent 2 Char"/>
    <w:autoRedefine/>
    <w:qFormat/>
    <w:locked/>
    <w:uiPriority w:val="99"/>
    <w:rPr>
      <w:rFonts w:ascii="Times New Roman" w:hAnsi="Times New Roman" w:eastAsia="宋体" w:cs="Times New Roman"/>
      <w:sz w:val="24"/>
      <w:szCs w:val="24"/>
    </w:rPr>
  </w:style>
  <w:style w:type="character" w:customStyle="1" w:styleId="160">
    <w:name w:val="Char Char24"/>
    <w:autoRedefine/>
    <w:qFormat/>
    <w:locked/>
    <w:uiPriority w:val="99"/>
    <w:rPr>
      <w:rFonts w:ascii="宋体" w:hAnsi="宋体" w:eastAsia="宋体" w:cs="Times New Roman"/>
      <w:sz w:val="24"/>
      <w:szCs w:val="24"/>
      <w:lang w:bidi="ar-SA"/>
    </w:rPr>
  </w:style>
  <w:style w:type="character" w:customStyle="1" w:styleId="161">
    <w:name w:val="Char Char17"/>
    <w:autoRedefine/>
    <w:qFormat/>
    <w:uiPriority w:val="99"/>
    <w:rPr>
      <w:rFonts w:ascii="Cambria" w:hAnsi="Cambria" w:eastAsia="宋体"/>
      <w:b/>
      <w:kern w:val="2"/>
      <w:sz w:val="32"/>
    </w:rPr>
  </w:style>
  <w:style w:type="character" w:customStyle="1" w:styleId="162">
    <w:name w:val="批注框文本 Char3"/>
    <w:autoRedefine/>
    <w:qFormat/>
    <w:locked/>
    <w:uiPriority w:val="99"/>
    <w:rPr>
      <w:rFonts w:cs="Times New Roman"/>
      <w:sz w:val="18"/>
      <w:szCs w:val="18"/>
    </w:rPr>
  </w:style>
  <w:style w:type="character" w:customStyle="1" w:styleId="163">
    <w:name w:val="明显引用 Char1"/>
    <w:link w:val="62"/>
    <w:autoRedefine/>
    <w:qFormat/>
    <w:uiPriority w:val="99"/>
    <w:rPr>
      <w:rFonts w:ascii="Calibri" w:hAnsi="Calibri" w:eastAsia="宋体" w:cs="Times New Roman"/>
      <w:b/>
      <w:bCs/>
      <w:i/>
      <w:iCs/>
      <w:color w:val="4F81BD"/>
      <w:kern w:val="0"/>
      <w:sz w:val="20"/>
      <w:szCs w:val="20"/>
    </w:rPr>
  </w:style>
  <w:style w:type="character" w:customStyle="1" w:styleId="164">
    <w:name w:val="正文1 Char"/>
    <w:link w:val="63"/>
    <w:autoRedefine/>
    <w:qFormat/>
    <w:locked/>
    <w:uiPriority w:val="99"/>
    <w:rPr>
      <w:rFonts w:eastAsia="宋体"/>
    </w:rPr>
  </w:style>
  <w:style w:type="character" w:customStyle="1" w:styleId="165">
    <w:name w:val="font161"/>
    <w:autoRedefine/>
    <w:qFormat/>
    <w:uiPriority w:val="99"/>
    <w:rPr>
      <w:b/>
      <w:sz w:val="32"/>
    </w:rPr>
  </w:style>
  <w:style w:type="character" w:customStyle="1" w:styleId="166">
    <w:name w:val="Comment Subject Char"/>
    <w:autoRedefine/>
    <w:qFormat/>
    <w:locked/>
    <w:uiPriority w:val="99"/>
    <w:rPr>
      <w:rFonts w:eastAsia="宋体" w:cs="Times New Roman"/>
      <w:b/>
      <w:bCs/>
      <w:sz w:val="24"/>
      <w:szCs w:val="24"/>
    </w:rPr>
  </w:style>
  <w:style w:type="character" w:customStyle="1" w:styleId="167">
    <w:name w:val="Footnote Text Char"/>
    <w:autoRedefine/>
    <w:qFormat/>
    <w:locked/>
    <w:uiPriority w:val="99"/>
    <w:rPr>
      <w:rFonts w:ascii="Times New Roman" w:hAnsi="Times New Roman" w:cs="Times New Roman"/>
    </w:rPr>
  </w:style>
  <w:style w:type="character" w:customStyle="1" w:styleId="168">
    <w:name w:val="Body Text 2 Char"/>
    <w:autoRedefine/>
    <w:qFormat/>
    <w:locked/>
    <w:uiPriority w:val="99"/>
    <w:rPr>
      <w:rFonts w:ascii="宋体" w:eastAsia="宋体" w:cs="Times New Roman"/>
      <w:color w:val="000000"/>
      <w:sz w:val="18"/>
      <w:szCs w:val="18"/>
    </w:rPr>
  </w:style>
  <w:style w:type="character" w:customStyle="1" w:styleId="169">
    <w:name w:val="标题 1.1 Char"/>
    <w:autoRedefine/>
    <w:qFormat/>
    <w:uiPriority w:val="99"/>
    <w:rPr>
      <w:rFonts w:ascii="Arial" w:hAnsi="Arial" w:eastAsia="黑体"/>
      <w:b/>
      <w:kern w:val="2"/>
      <w:sz w:val="32"/>
      <w:lang w:val="en-US" w:eastAsia="zh-CN"/>
    </w:rPr>
  </w:style>
  <w:style w:type="character" w:customStyle="1" w:styleId="170">
    <w:name w:val="Title Char"/>
    <w:autoRedefine/>
    <w:qFormat/>
    <w:locked/>
    <w:uiPriority w:val="99"/>
    <w:rPr>
      <w:rFonts w:ascii="Arial" w:hAnsi="Arial" w:eastAsia="宋体" w:cs="Times New Roman"/>
      <w:b/>
      <w:sz w:val="32"/>
    </w:rPr>
  </w:style>
  <w:style w:type="character" w:customStyle="1" w:styleId="171">
    <w:name w:val="Quote Char2"/>
    <w:autoRedefine/>
    <w:qFormat/>
    <w:locked/>
    <w:uiPriority w:val="99"/>
    <w:rPr>
      <w:rFonts w:ascii="Calibri" w:hAnsi="Calibri" w:eastAsia="宋体" w:cs="Times New Roman"/>
      <w:i/>
      <w:iCs/>
      <w:color w:val="000000"/>
    </w:rPr>
  </w:style>
  <w:style w:type="character" w:customStyle="1" w:styleId="172">
    <w:name w:val="_Style 170"/>
    <w:autoRedefine/>
    <w:qFormat/>
    <w:uiPriority w:val="99"/>
    <w:rPr>
      <w:b/>
      <w:smallCaps/>
      <w:color w:val="C0504D"/>
      <w:spacing w:val="5"/>
      <w:u w:val="single"/>
    </w:rPr>
  </w:style>
  <w:style w:type="character" w:customStyle="1" w:styleId="173">
    <w:name w:val="Comment Text Char"/>
    <w:autoRedefine/>
    <w:qFormat/>
    <w:locked/>
    <w:uiPriority w:val="99"/>
    <w:rPr>
      <w:rFonts w:eastAsia="宋体" w:cs="Times New Roman"/>
      <w:sz w:val="24"/>
      <w:szCs w:val="24"/>
    </w:rPr>
  </w:style>
  <w:style w:type="character" w:customStyle="1" w:styleId="174">
    <w:name w:val="Char Char23"/>
    <w:autoRedefine/>
    <w:qFormat/>
    <w:locked/>
    <w:uiPriority w:val="99"/>
    <w:rPr>
      <w:rFonts w:ascii="宋体" w:hAnsi="宋体" w:eastAsia="宋体"/>
      <w:kern w:val="2"/>
      <w:sz w:val="24"/>
      <w:lang w:val="en-US" w:eastAsia="zh-CN"/>
    </w:rPr>
  </w:style>
  <w:style w:type="character" w:customStyle="1" w:styleId="175">
    <w:name w:val="正文文本缩进 3 Char1"/>
    <w:autoRedefine/>
    <w:qFormat/>
    <w:uiPriority w:val="99"/>
    <w:rPr>
      <w:rFonts w:cs="Times New Roman"/>
      <w:kern w:val="2"/>
      <w:sz w:val="16"/>
      <w:szCs w:val="16"/>
    </w:rPr>
  </w:style>
  <w:style w:type="character" w:customStyle="1" w:styleId="176">
    <w:name w:val="Title Char1"/>
    <w:autoRedefine/>
    <w:qFormat/>
    <w:locked/>
    <w:uiPriority w:val="99"/>
    <w:rPr>
      <w:rFonts w:ascii="Cambria" w:hAnsi="Cambria" w:cs="Times New Roman"/>
      <w:b/>
      <w:bCs/>
      <w:sz w:val="32"/>
      <w:szCs w:val="32"/>
    </w:rPr>
  </w:style>
  <w:style w:type="character" w:customStyle="1" w:styleId="177">
    <w:name w:val="Title Char2"/>
    <w:autoRedefine/>
    <w:qFormat/>
    <w:locked/>
    <w:uiPriority w:val="99"/>
    <w:rPr>
      <w:rFonts w:ascii="Cambria" w:hAnsi="Cambria" w:eastAsia="宋体" w:cs="Times New Roman"/>
      <w:b/>
      <w:bCs/>
      <w:sz w:val="32"/>
      <w:szCs w:val="32"/>
    </w:rPr>
  </w:style>
  <w:style w:type="character" w:customStyle="1" w:styleId="178">
    <w:name w:val="Date Char"/>
    <w:autoRedefine/>
    <w:qFormat/>
    <w:locked/>
    <w:uiPriority w:val="99"/>
    <w:rPr>
      <w:rFonts w:ascii="Times New Roman" w:hAnsi="Times New Roman" w:eastAsia="宋体" w:cs="Times New Roman"/>
      <w:sz w:val="24"/>
      <w:szCs w:val="24"/>
    </w:rPr>
  </w:style>
  <w:style w:type="character" w:customStyle="1" w:styleId="179">
    <w:name w:val="Body Text 3 Char"/>
    <w:autoRedefine/>
    <w:qFormat/>
    <w:locked/>
    <w:uiPriority w:val="99"/>
    <w:rPr>
      <w:rFonts w:ascii="宋体" w:hAnsi="Times New Roman" w:eastAsia="宋体" w:cs="Times New Roman"/>
      <w:sz w:val="20"/>
      <w:szCs w:val="20"/>
    </w:rPr>
  </w:style>
  <w:style w:type="character" w:customStyle="1" w:styleId="180">
    <w:name w:val="标题 2 Char"/>
    <w:autoRedefine/>
    <w:qFormat/>
    <w:uiPriority w:val="99"/>
    <w:rPr>
      <w:rFonts w:ascii="Cambria" w:hAnsi="Cambria" w:eastAsia="宋体" w:cs="Times New Roman"/>
      <w:b/>
      <w:bCs/>
      <w:kern w:val="0"/>
      <w:sz w:val="32"/>
      <w:szCs w:val="32"/>
    </w:rPr>
  </w:style>
  <w:style w:type="character" w:customStyle="1" w:styleId="181">
    <w:name w:val="Intense Quote Char1"/>
    <w:autoRedefine/>
    <w:qFormat/>
    <w:locked/>
    <w:uiPriority w:val="99"/>
    <w:rPr>
      <w:rFonts w:cs="Times New Roman"/>
      <w:b/>
      <w:bCs/>
      <w:i/>
      <w:iCs/>
      <w:color w:val="4F81BD"/>
    </w:rPr>
  </w:style>
  <w:style w:type="character" w:customStyle="1" w:styleId="182">
    <w:name w:val="HTML Markup"/>
    <w:autoRedefine/>
    <w:qFormat/>
    <w:uiPriority w:val="99"/>
    <w:rPr>
      <w:rFonts w:cs="Times New Roman"/>
      <w:vanish/>
      <w:color w:val="FF0000"/>
    </w:rPr>
  </w:style>
  <w:style w:type="character" w:customStyle="1" w:styleId="183">
    <w:name w:val="Plain Text Char"/>
    <w:autoRedefine/>
    <w:qFormat/>
    <w:locked/>
    <w:uiPriority w:val="99"/>
    <w:rPr>
      <w:rFonts w:ascii="宋体" w:hAnsi="Courier New" w:eastAsia="宋体" w:cs="Times New Roman"/>
    </w:rPr>
  </w:style>
  <w:style w:type="character" w:customStyle="1" w:styleId="184">
    <w:name w:val="二级 Char"/>
    <w:link w:val="64"/>
    <w:autoRedefine/>
    <w:qFormat/>
    <w:uiPriority w:val="0"/>
    <w:rPr>
      <w:rFonts w:ascii="宋体" w:hAnsi="宋体"/>
      <w:b/>
      <w:bCs/>
      <w:sz w:val="28"/>
      <w:szCs w:val="28"/>
    </w:rPr>
  </w:style>
  <w:style w:type="character" w:customStyle="1" w:styleId="185">
    <w:name w:val="Body Text Indent 3 Char"/>
    <w:autoRedefine/>
    <w:qFormat/>
    <w:locked/>
    <w:uiPriority w:val="99"/>
    <w:rPr>
      <w:rFonts w:ascii="Times New Roman" w:hAnsi="Times New Roman" w:eastAsia="宋体" w:cs="Times New Roman"/>
      <w:sz w:val="16"/>
      <w:szCs w:val="16"/>
    </w:rPr>
  </w:style>
  <w:style w:type="character" w:customStyle="1" w:styleId="186">
    <w:name w:val="textcontents"/>
    <w:autoRedefine/>
    <w:qFormat/>
    <w:uiPriority w:val="99"/>
    <w:rPr>
      <w:rFonts w:ascii="Times New Roman" w:hAnsi="Times New Roman"/>
    </w:rPr>
  </w:style>
  <w:style w:type="character" w:customStyle="1" w:styleId="187">
    <w:name w:val="批注文字 Char"/>
    <w:autoRedefine/>
    <w:qFormat/>
    <w:uiPriority w:val="99"/>
    <w:rPr>
      <w:rFonts w:ascii="Times New Roman" w:hAnsi="Times New Roman" w:eastAsia="宋体" w:cs="Times New Roman"/>
      <w:sz w:val="24"/>
      <w:szCs w:val="24"/>
    </w:rPr>
  </w:style>
  <w:style w:type="character" w:customStyle="1" w:styleId="188">
    <w:name w:val="引用 Char"/>
    <w:autoRedefine/>
    <w:qFormat/>
    <w:uiPriority w:val="99"/>
    <w:rPr>
      <w:rFonts w:ascii="Times New Roman" w:hAnsi="Times New Roman" w:eastAsia="宋体" w:cs="Times New Roman"/>
      <w:i/>
      <w:iCs/>
      <w:color w:val="000000"/>
      <w:sz w:val="24"/>
      <w:szCs w:val="24"/>
    </w:rPr>
  </w:style>
  <w:style w:type="character" w:customStyle="1" w:styleId="189">
    <w:name w:val="引用 Char1"/>
    <w:link w:val="65"/>
    <w:autoRedefine/>
    <w:qFormat/>
    <w:uiPriority w:val="99"/>
    <w:rPr>
      <w:rFonts w:ascii="Calibri" w:hAnsi="Calibri" w:eastAsia="宋体" w:cs="Times New Roman"/>
      <w:i/>
      <w:iCs/>
      <w:color w:val="000000"/>
      <w:kern w:val="0"/>
      <w:sz w:val="20"/>
      <w:szCs w:val="20"/>
    </w:rPr>
  </w:style>
  <w:style w:type="character" w:customStyle="1" w:styleId="190">
    <w:name w:val="批注主题 Char1"/>
    <w:autoRedefine/>
    <w:qFormat/>
    <w:uiPriority w:val="99"/>
    <w:rPr>
      <w:b/>
      <w:kern w:val="2"/>
      <w:sz w:val="22"/>
    </w:rPr>
  </w:style>
  <w:style w:type="character" w:customStyle="1" w:styleId="191">
    <w:name w:val="批注文字 Char Char"/>
    <w:autoRedefine/>
    <w:qFormat/>
    <w:uiPriority w:val="99"/>
    <w:rPr>
      <w:rFonts w:ascii="宋体" w:hAnsi="Times New Roman" w:eastAsia="宋体"/>
      <w:sz w:val="20"/>
    </w:rPr>
  </w:style>
  <w:style w:type="character" w:customStyle="1" w:styleId="192">
    <w:name w:val="Body Text Char"/>
    <w:autoRedefine/>
    <w:qFormat/>
    <w:locked/>
    <w:uiPriority w:val="99"/>
    <w:rPr>
      <w:rFonts w:ascii="Times New Roman" w:hAnsi="Times New Roman" w:eastAsia="宋体" w:cs="Times New Roman"/>
      <w:sz w:val="24"/>
      <w:szCs w:val="24"/>
    </w:rPr>
  </w:style>
  <w:style w:type="character" w:customStyle="1" w:styleId="193">
    <w:name w:val="font61"/>
    <w:basedOn w:val="48"/>
    <w:autoRedefine/>
    <w:qFormat/>
    <w:uiPriority w:val="0"/>
    <w:rPr>
      <w:rFonts w:ascii="仿宋_GB2312" w:eastAsia="仿宋_GB2312" w:cs="仿宋_GB2312"/>
      <w:color w:val="000000"/>
      <w:sz w:val="20"/>
      <w:szCs w:val="20"/>
      <w:u w:val="none"/>
    </w:rPr>
  </w:style>
  <w:style w:type="character" w:customStyle="1" w:styleId="194">
    <w:name w:val="font71"/>
    <w:basedOn w:val="48"/>
    <w:autoRedefine/>
    <w:qFormat/>
    <w:uiPriority w:val="0"/>
    <w:rPr>
      <w:rFonts w:hint="eastAsia" w:ascii="宋体" w:hAnsi="宋体" w:eastAsia="宋体" w:cs="宋体"/>
      <w:color w:val="000000"/>
      <w:sz w:val="20"/>
      <w:szCs w:val="20"/>
      <w:u w:val="none"/>
    </w:rPr>
  </w:style>
  <w:style w:type="character" w:customStyle="1" w:styleId="195">
    <w:name w:val="font11"/>
    <w:basedOn w:val="48"/>
    <w:autoRedefine/>
    <w:qFormat/>
    <w:uiPriority w:val="0"/>
    <w:rPr>
      <w:rFonts w:hint="eastAsia" w:ascii="宋体" w:hAnsi="宋体" w:eastAsia="宋体" w:cs="宋体"/>
      <w:color w:val="000000"/>
      <w:sz w:val="20"/>
      <w:szCs w:val="20"/>
      <w:u w:val="none"/>
    </w:rPr>
  </w:style>
  <w:style w:type="character" w:customStyle="1" w:styleId="196">
    <w:name w:val="font81"/>
    <w:basedOn w:val="48"/>
    <w:autoRedefine/>
    <w:qFormat/>
    <w:uiPriority w:val="0"/>
    <w:rPr>
      <w:rFonts w:hint="default" w:ascii="Times New Roman" w:hAnsi="Times New Roman" w:cs="Times New Roman"/>
      <w:color w:val="000000"/>
      <w:sz w:val="20"/>
      <w:szCs w:val="20"/>
      <w:u w:val="none"/>
    </w:rPr>
  </w:style>
  <w:style w:type="character" w:customStyle="1" w:styleId="197">
    <w:name w:val="font01"/>
    <w:basedOn w:val="48"/>
    <w:autoRedefine/>
    <w:qFormat/>
    <w:uiPriority w:val="0"/>
    <w:rPr>
      <w:rFonts w:hint="eastAsia" w:ascii="仿宋_GB2312" w:eastAsia="仿宋_GB2312" w:cs="仿宋_GB2312"/>
      <w:color w:val="000000"/>
      <w:sz w:val="20"/>
      <w:szCs w:val="20"/>
      <w:u w:val="none"/>
    </w:rPr>
  </w:style>
  <w:style w:type="character" w:customStyle="1" w:styleId="198">
    <w:name w:val="font91"/>
    <w:basedOn w:val="48"/>
    <w:autoRedefine/>
    <w:qFormat/>
    <w:uiPriority w:val="0"/>
    <w:rPr>
      <w:rFonts w:ascii="微软雅黑" w:hAnsi="微软雅黑" w:eastAsia="微软雅黑" w:cs="微软雅黑"/>
      <w:color w:val="000000"/>
      <w:sz w:val="20"/>
      <w:szCs w:val="20"/>
      <w:u w:val="none"/>
    </w:rPr>
  </w:style>
  <w:style w:type="character" w:customStyle="1" w:styleId="199">
    <w:name w:val="font21"/>
    <w:basedOn w:val="48"/>
    <w:autoRedefine/>
    <w:qFormat/>
    <w:uiPriority w:val="0"/>
    <w:rPr>
      <w:rFonts w:hint="eastAsia" w:ascii="宋体" w:hAnsi="宋体" w:eastAsia="宋体" w:cs="宋体"/>
      <w:color w:val="000000"/>
      <w:sz w:val="18"/>
      <w:szCs w:val="18"/>
      <w:u w:val="none"/>
    </w:rPr>
  </w:style>
  <w:style w:type="character" w:customStyle="1" w:styleId="200">
    <w:name w:val="font51"/>
    <w:basedOn w:val="48"/>
    <w:autoRedefine/>
    <w:qFormat/>
    <w:uiPriority w:val="0"/>
    <w:rPr>
      <w:rFonts w:ascii="仿宋_GB2312" w:eastAsia="仿宋_GB2312" w:cs="仿宋_GB2312"/>
      <w:color w:val="000000"/>
      <w:sz w:val="20"/>
      <w:szCs w:val="20"/>
      <w:u w:val="none"/>
    </w:rPr>
  </w:style>
  <w:style w:type="character" w:customStyle="1" w:styleId="201">
    <w:name w:val="font31"/>
    <w:basedOn w:val="48"/>
    <w:autoRedefine/>
    <w:qFormat/>
    <w:uiPriority w:val="0"/>
    <w:rPr>
      <w:rFonts w:hint="eastAsia" w:ascii="宋体" w:hAnsi="宋体" w:eastAsia="宋体" w:cs="宋体"/>
      <w:color w:val="000000"/>
      <w:sz w:val="18"/>
      <w:szCs w:val="18"/>
      <w:u w:val="none"/>
    </w:rPr>
  </w:style>
  <w:style w:type="character" w:customStyle="1" w:styleId="202">
    <w:name w:val="font41"/>
    <w:basedOn w:val="48"/>
    <w:autoRedefine/>
    <w:qFormat/>
    <w:uiPriority w:val="0"/>
    <w:rPr>
      <w:rFonts w:hint="eastAsia" w:ascii="等线" w:hAnsi="等线" w:eastAsia="等线" w:cs="等线"/>
      <w:color w:val="000000"/>
      <w:sz w:val="20"/>
      <w:szCs w:val="20"/>
      <w:u w:val="none"/>
    </w:rPr>
  </w:style>
  <w:style w:type="paragraph" w:customStyle="1" w:styleId="203">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c6498c-0552-4c59-ae9c-47d58bc557e6}"/>
        <w:style w:val=""/>
        <w:category>
          <w:name w:val="常规"/>
          <w:gallery w:val="placeholder"/>
        </w:category>
        <w:types>
          <w:type w:val="bbPlcHdr"/>
        </w:types>
        <w:behaviors>
          <w:behavior w:val="content"/>
        </w:behaviors>
        <w:description w:val=""/>
        <w:guid w:val="{47c6498c-0552-4c59-ae9c-47d58bc557e6}"/>
      </w:docPartPr>
      <w:docPartBody>
        <w:p w14:paraId="56D260C0">
          <w:r>
            <w:rPr>
              <w:color w:val="808080"/>
            </w:rPr>
            <w:t>单击此处输入文字。</w:t>
          </w:r>
        </w:p>
      </w:docPartBody>
    </w:docPart>
    <w:docPart>
      <w:docPartPr>
        <w:name w:val="{b51bf0f7-022a-4559-abc0-0d1bd889bd8a}"/>
        <w:style w:val=""/>
        <w:category>
          <w:name w:val="常规"/>
          <w:gallery w:val="placeholder"/>
        </w:category>
        <w:types>
          <w:type w:val="bbPlcHdr"/>
        </w:types>
        <w:behaviors>
          <w:behavior w:val="content"/>
        </w:behaviors>
        <w:description w:val=""/>
        <w:guid w:val="{b51bf0f7-022a-4559-abc0-0d1bd889bd8a}"/>
      </w:docPartPr>
      <w:docPartBody>
        <w:p w14:paraId="2FB8458B">
          <w:r>
            <w:rPr>
              <w:color w:val="808080"/>
            </w:rPr>
            <w:t>单击此处输入文字。</w:t>
          </w:r>
        </w:p>
      </w:docPartBody>
    </w:docPart>
    <w:docPart>
      <w:docPartPr>
        <w:name w:val="{c25d4978-c5d2-477a-91bb-0b09dc94c11a}"/>
        <w:style w:val=""/>
        <w:category>
          <w:name w:val="常规"/>
          <w:gallery w:val="placeholder"/>
        </w:category>
        <w:types>
          <w:type w:val="bbPlcHdr"/>
        </w:types>
        <w:behaviors>
          <w:behavior w:val="content"/>
        </w:behaviors>
        <w:description w:val=""/>
        <w:guid w:val="{c25d4978-c5d2-477a-91bb-0b09dc94c11a}"/>
      </w:docPartPr>
      <w:docPartBody>
        <w:p w14:paraId="74F1D920">
          <w:r>
            <w:rPr>
              <w:color w:val="808080"/>
            </w:rPr>
            <w:t>单击此处输入文字。</w:t>
          </w:r>
        </w:p>
      </w:docPartBody>
    </w:docPart>
    <w:docPart>
      <w:docPartPr>
        <w:name w:val="{4dee9d09-12f1-4d62-ac96-cef84ef3c0db}"/>
        <w:style w:val=""/>
        <w:category>
          <w:name w:val="常规"/>
          <w:gallery w:val="placeholder"/>
        </w:category>
        <w:types>
          <w:type w:val="bbPlcHdr"/>
        </w:types>
        <w:behaviors>
          <w:behavior w:val="content"/>
        </w:behaviors>
        <w:description w:val=""/>
        <w:guid w:val="{4dee9d09-12f1-4d62-ac96-cef84ef3c0db}"/>
      </w:docPartPr>
      <w:docPartBody>
        <w:p w14:paraId="6CE3175D">
          <w:r>
            <w:rPr>
              <w:color w:val="808080"/>
            </w:rPr>
            <w:t>单击此处输入文字。</w:t>
          </w:r>
        </w:p>
      </w:docPartBody>
    </w:docPart>
    <w:docPart>
      <w:docPartPr>
        <w:name w:val="{baa7020d-cbdc-4b80-9be8-db23af549d25}"/>
        <w:style w:val=""/>
        <w:category>
          <w:name w:val="常规"/>
          <w:gallery w:val="placeholder"/>
        </w:category>
        <w:types>
          <w:type w:val="bbPlcHdr"/>
        </w:types>
        <w:behaviors>
          <w:behavior w:val="content"/>
        </w:behaviors>
        <w:description w:val=""/>
        <w:guid w:val="{baa7020d-cbdc-4b80-9be8-db23af549d25}"/>
      </w:docPartPr>
      <w:docPartBody>
        <w:p w14:paraId="4852EBF7">
          <w:r>
            <w:rPr>
              <w:color w:val="808080"/>
            </w:rPr>
            <w:t>单击此处输入文字。</w:t>
          </w:r>
        </w:p>
      </w:docPartBody>
    </w:docPart>
    <w:docPart>
      <w:docPartPr>
        <w:name w:val="{37c66cee-39be-405c-8a3b-ccee1d5988c9}"/>
        <w:style w:val=""/>
        <w:category>
          <w:name w:val="常规"/>
          <w:gallery w:val="placeholder"/>
        </w:category>
        <w:types>
          <w:type w:val="bbPlcHdr"/>
        </w:types>
        <w:behaviors>
          <w:behavior w:val="content"/>
        </w:behaviors>
        <w:description w:val=""/>
        <w:guid w:val="{37c66cee-39be-405c-8a3b-ccee1d5988c9}"/>
      </w:docPartPr>
      <w:docPartBody>
        <w:p w14:paraId="02F0C2C0">
          <w:r>
            <w:rPr>
              <w:color w:val="808080"/>
            </w:rPr>
            <w:t>单击此处输入文字。</w:t>
          </w:r>
        </w:p>
      </w:docPartBody>
    </w:docPart>
    <w:docPart>
      <w:docPartPr>
        <w:name w:val="{fdd5341b-5a73-400a-9400-40fd51aceecd}"/>
        <w:style w:val=""/>
        <w:category>
          <w:name w:val="常规"/>
          <w:gallery w:val="placeholder"/>
        </w:category>
        <w:types>
          <w:type w:val="bbPlcHdr"/>
        </w:types>
        <w:behaviors>
          <w:behavior w:val="content"/>
        </w:behaviors>
        <w:description w:val=""/>
        <w:guid w:val="{fdd5341b-5a73-400a-9400-40fd51aceecd}"/>
      </w:docPartPr>
      <w:docPartBody>
        <w:p w14:paraId="7536BCB5">
          <w:r>
            <w:rPr>
              <w:color w:val="808080"/>
            </w:rPr>
            <w:t>单击此处输入文字。</w:t>
          </w:r>
        </w:p>
      </w:docPartBody>
    </w:docPart>
    <w:docPart>
      <w:docPartPr>
        <w:name w:val="{c8d31c09-d53b-47a6-805d-f697f880347d}"/>
        <w:style w:val=""/>
        <w:category>
          <w:name w:val="常规"/>
          <w:gallery w:val="placeholder"/>
        </w:category>
        <w:types>
          <w:type w:val="bbPlcHdr"/>
        </w:types>
        <w:behaviors>
          <w:behavior w:val="content"/>
        </w:behaviors>
        <w:description w:val=""/>
        <w:guid w:val="{c8d31c09-d53b-47a6-805d-f697f880347d}"/>
      </w:docPartPr>
      <w:docPartBody>
        <w:p w14:paraId="294698A0">
          <w:r>
            <w:rPr>
              <w:color w:val="808080"/>
            </w:rPr>
            <w:t>单击此处输入文字。</w:t>
          </w:r>
        </w:p>
      </w:docPartBody>
    </w:docPart>
    <w:docPart>
      <w:docPartPr>
        <w:name w:val="{ebff3c89-b4c8-46ae-97ac-e8b2495addcb}"/>
        <w:style w:val=""/>
        <w:category>
          <w:name w:val="常规"/>
          <w:gallery w:val="placeholder"/>
        </w:category>
        <w:types>
          <w:type w:val="bbPlcHdr"/>
        </w:types>
        <w:behaviors>
          <w:behavior w:val="content"/>
        </w:behaviors>
        <w:description w:val=""/>
        <w:guid w:val="{ebff3c89-b4c8-46ae-97ac-e8b2495addcb}"/>
      </w:docPartPr>
      <w:docPartBody>
        <w:p w14:paraId="128AE7D0">
          <w:r>
            <w:rPr>
              <w:color w:val="808080"/>
            </w:rPr>
            <w:t>单击此处输入文字。</w:t>
          </w:r>
        </w:p>
      </w:docPartBody>
    </w:docPart>
    <w:docPart>
      <w:docPartPr>
        <w:name w:val="{ec6c8546-bf52-4b04-a1f8-d58ee26a9361}"/>
        <w:style w:val=""/>
        <w:category>
          <w:name w:val="常规"/>
          <w:gallery w:val="placeholder"/>
        </w:category>
        <w:types>
          <w:type w:val="bbPlcHdr"/>
        </w:types>
        <w:behaviors>
          <w:behavior w:val="content"/>
        </w:behaviors>
        <w:description w:val=""/>
        <w:guid w:val="{ec6c8546-bf52-4b04-a1f8-d58ee26a9361}"/>
      </w:docPartPr>
      <w:docPartBody>
        <w:p w14:paraId="50CA0774">
          <w:r>
            <w:rPr>
              <w:color w:val="808080"/>
            </w:rPr>
            <w:t>单击此处输入文字。</w:t>
          </w:r>
        </w:p>
      </w:docPartBody>
    </w:docPart>
    <w:docPart>
      <w:docPartPr>
        <w:name w:val="{cd7df482-2d0d-47bc-9c73-7f2245ce7394}"/>
        <w:style w:val=""/>
        <w:category>
          <w:name w:val="常规"/>
          <w:gallery w:val="placeholder"/>
        </w:category>
        <w:types>
          <w:type w:val="bbPlcHdr"/>
        </w:types>
        <w:behaviors>
          <w:behavior w:val="content"/>
        </w:behaviors>
        <w:description w:val=""/>
        <w:guid w:val="{cd7df482-2d0d-47bc-9c73-7f2245ce7394}"/>
      </w:docPartPr>
      <w:docPartBody>
        <w:p w14:paraId="64194AF2">
          <w:r>
            <w:rPr>
              <w:color w:val="808080"/>
            </w:rPr>
            <w:t>单击此处输入文字。</w:t>
          </w:r>
        </w:p>
      </w:docPartBody>
    </w:docPart>
    <w:docPart>
      <w:docPartPr>
        <w:name w:val="{b985d993-bf46-4bf7-a804-6cac3911529b}"/>
        <w:style w:val=""/>
        <w:category>
          <w:name w:val="常规"/>
          <w:gallery w:val="placeholder"/>
        </w:category>
        <w:types>
          <w:type w:val="bbPlcHdr"/>
        </w:types>
        <w:behaviors>
          <w:behavior w:val="content"/>
        </w:behaviors>
        <w:description w:val=""/>
        <w:guid w:val="{b985d993-bf46-4bf7-a804-6cac3911529b}"/>
      </w:docPartPr>
      <w:docPartBody>
        <w:p w14:paraId="5DF21558">
          <w:r>
            <w:rPr>
              <w:color w:val="808080"/>
            </w:rPr>
            <w:t>单击此处输入文字。</w:t>
          </w:r>
        </w:p>
      </w:docPartBody>
    </w:docPart>
    <w:docPart>
      <w:docPartPr>
        <w:name w:val="{ea41b6b9-b3e2-4665-ba57-84d017007248}"/>
        <w:style w:val=""/>
        <w:category>
          <w:name w:val="常规"/>
          <w:gallery w:val="placeholder"/>
        </w:category>
        <w:types>
          <w:type w:val="bbPlcHdr"/>
        </w:types>
        <w:behaviors>
          <w:behavior w:val="content"/>
        </w:behaviors>
        <w:description w:val=""/>
        <w:guid w:val="{ea41b6b9-b3e2-4665-ba57-84d017007248}"/>
      </w:docPartPr>
      <w:docPartBody>
        <w:p w14:paraId="7661CCC0">
          <w:r>
            <w:rPr>
              <w:color w:val="808080"/>
            </w:rPr>
            <w:t>单击此处输入文字。</w:t>
          </w:r>
        </w:p>
      </w:docPartBody>
    </w:docPart>
    <w:docPart>
      <w:docPartPr>
        <w:name w:val="{2bb8ae50-9b2b-4e83-bd42-d0ed4c0d1e74}"/>
        <w:style w:val=""/>
        <w:category>
          <w:name w:val="常规"/>
          <w:gallery w:val="placeholder"/>
        </w:category>
        <w:types>
          <w:type w:val="bbPlcHdr"/>
        </w:types>
        <w:behaviors>
          <w:behavior w:val="content"/>
        </w:behaviors>
        <w:description w:val=""/>
        <w:guid w:val="{2bb8ae50-9b2b-4e83-bd42-d0ed4c0d1e74}"/>
      </w:docPartPr>
      <w:docPartBody>
        <w:p w14:paraId="20D916C3">
          <w:r>
            <w:rPr>
              <w:color w:val="808080"/>
            </w:rPr>
            <w:t>单击此处输入文字。</w:t>
          </w:r>
        </w:p>
      </w:docPartBody>
    </w:docPart>
    <w:docPart>
      <w:docPartPr>
        <w:name w:val="{9e8569bf-9e85-442e-9b7b-8b0c5d2a7663}"/>
        <w:style w:val=""/>
        <w:category>
          <w:name w:val="常规"/>
          <w:gallery w:val="placeholder"/>
        </w:category>
        <w:types>
          <w:type w:val="bbPlcHdr"/>
        </w:types>
        <w:behaviors>
          <w:behavior w:val="content"/>
        </w:behaviors>
        <w:description w:val=""/>
        <w:guid w:val="{9e8569bf-9e85-442e-9b7b-8b0c5d2a7663}"/>
      </w:docPartPr>
      <w:docPartBody>
        <w:p w14:paraId="20B939AE">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200</Words>
  <Characters>218</Characters>
  <Lines>183</Lines>
  <Paragraphs>51</Paragraphs>
  <TotalTime>12</TotalTime>
  <ScaleCrop>false</ScaleCrop>
  <LinksUpToDate>false</LinksUpToDate>
  <CharactersWithSpaces>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2022-01-02T12:08:00Z</dcterms:created>
  <dc:creator>lixue</dc:creator>
  <cp:lastModifiedBy>史美伟</cp:lastModifiedBy>
  <cp:lastPrinted>2025-05-12T07:52:00Z</cp:lastPrinted>
  <dcterms:modified xsi:type="dcterms:W3CDTF">2025-12-25T07:24:49Z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71BC6D86E9F549BCB60A30BFA97BB28C</vt:lpwstr>
  </property>
  <property fmtid="{D5CDD505-2E9C-101B-9397-08002B2CF9AE}" pid="4" name="KSOTemplateDocerSaveRecord">
    <vt:lpwstr>eyJoZGlkIjoiYjMyMGJiNDM2NjQ5NzEyMTlhMTQxNjJmOTA4MWQ1NjQiLCJ1c2VySWQiOiI1MTUxNzA1ODQifQ==</vt:lpwstr>
  </property>
</Properties>
</file>